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54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405"/>
        <w:gridCol w:w="4260"/>
        <w:gridCol w:w="4935"/>
      </w:tblGrid>
      <w:tr w:rsidR="00C62876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Istituto comprensivo Pio Fedi Grotte S. Stefano </w:t>
            </w:r>
          </w:p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Programmazione d’istituto</w:t>
            </w:r>
          </w:p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Scuola Secondaria</w:t>
            </w:r>
          </w:p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DIPARTIMENTO DI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SCIENZE</w:t>
            </w:r>
          </w:p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358" w:lineRule="auto"/>
              <w:ind w:left="6689" w:right="5025" w:hanging="1665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CLASSI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SECONDE</w:t>
            </w:r>
          </w:p>
        </w:tc>
      </w:tr>
      <w:tr w:rsidR="00C62876">
        <w:tc>
          <w:tcPr>
            <w:tcW w:w="15540" w:type="dxa"/>
            <w:gridSpan w:val="4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6554" w:right="6435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MATERIA: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SCIENZE</w:t>
            </w:r>
          </w:p>
        </w:tc>
      </w:tr>
      <w:tr w:rsidR="00C62876">
        <w:tc>
          <w:tcPr>
            <w:tcW w:w="1554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COMPETENZA CHIAVE EUROPEA: </w:t>
            </w:r>
          </w:p>
          <w:p w:rsidR="00C62876" w:rsidRDefault="006223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competenze nella madrelingua</w:t>
            </w:r>
          </w:p>
          <w:p w:rsidR="00C62876" w:rsidRDefault="006223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Competenza matematica, scientifica e tecnologica</w:t>
            </w:r>
          </w:p>
          <w:p w:rsidR="00C62876" w:rsidRDefault="006223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Comunicazione nelle lingue straniere</w:t>
            </w:r>
          </w:p>
          <w:p w:rsidR="00C62876" w:rsidRDefault="006223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Competenza digitale</w:t>
            </w:r>
          </w:p>
          <w:p w:rsidR="00C62876" w:rsidRDefault="006223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Imparare ad imparare</w:t>
            </w:r>
          </w:p>
          <w:p w:rsidR="00C62876" w:rsidRDefault="006223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Competenze sociali e civiche</w:t>
            </w:r>
          </w:p>
          <w:p w:rsidR="00C62876" w:rsidRDefault="006223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Senso di iniziativa e imprenditorialità</w:t>
            </w: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449"/>
              <w:rPr>
                <w:rFonts w:ascii="Verdana" w:eastAsia="Verdana" w:hAnsi="Verdana" w:cs="Verdana"/>
                <w:color w:val="000000"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COMPETENZE TRASVERSALI</w:t>
            </w:r>
          </w:p>
          <w:p w:rsidR="00C62876" w:rsidRDefault="006223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alfabetica funzionale</w:t>
            </w:r>
          </w:p>
          <w:p w:rsidR="00C62876" w:rsidRDefault="006223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competenza multilinguistica</w:t>
            </w:r>
          </w:p>
          <w:p w:rsidR="00C62876" w:rsidRDefault="006223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matematica e competenze in scienze, tecnologia e ingegneria</w:t>
            </w:r>
          </w:p>
          <w:p w:rsidR="00C62876" w:rsidRDefault="006223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digitale</w:t>
            </w:r>
          </w:p>
          <w:p w:rsidR="00C62876" w:rsidRDefault="006223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personale, sociale, capacità di imparare a imparare</w:t>
            </w:r>
          </w:p>
          <w:p w:rsidR="00C62876" w:rsidRDefault="006223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in materia di cittadinanza</w:t>
            </w:r>
          </w:p>
          <w:p w:rsidR="00C62876" w:rsidRDefault="006223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imprenditoriale</w:t>
            </w:r>
          </w:p>
          <w:p w:rsidR="00C62876" w:rsidRDefault="006223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in materia di consapevolezza ed espressione culturali</w:t>
            </w: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C62876" w:rsidRDefault="006223E0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La prima parte del primo quadrimestre sarà dedicata al ripasso e consolidamento degli argomenti propedeutici per l’anno corrente</w:t>
            </w:r>
          </w:p>
          <w:p w:rsidR="00C62876" w:rsidRDefault="00C62876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C62876" w:rsidRDefault="00C628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</w:p>
        </w:tc>
      </w:tr>
      <w:tr w:rsidR="00C62876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9434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lastRenderedPageBreak/>
              <w:t>1° E 2° QUADRIMESTRE</w:t>
            </w:r>
          </w:p>
        </w:tc>
      </w:tr>
      <w:tr w:rsidR="00C62876">
        <w:tc>
          <w:tcPr>
            <w:tcW w:w="29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40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26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479" w:right="1495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ABILITÀ’</w:t>
            </w:r>
          </w:p>
        </w:tc>
        <w:tc>
          <w:tcPr>
            <w:tcW w:w="493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C62876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FISICA E CHIMICA</w:t>
            </w: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color w:val="000000"/>
              </w:rPr>
            </w:pP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spacing w:before="240" w:after="240" w:line="362" w:lineRule="auto"/>
              <w:ind w:left="360"/>
              <w:rPr>
                <w:rFonts w:ascii="Calibri" w:eastAsia="Calibri" w:hAnsi="Calibri" w:cs="Calibri"/>
                <w:sz w:val="14"/>
                <w:szCs w:val="14"/>
              </w:rPr>
            </w:pPr>
            <w:r>
              <w:lastRenderedPageBreak/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  <w:p w:rsidR="00C62876" w:rsidRDefault="006223E0">
            <w:pPr>
              <w:numPr>
                <w:ilvl w:val="0"/>
                <w:numId w:val="2"/>
              </w:numPr>
              <w:spacing w:line="362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Saper organizzare, secondo il metodo scientifico, l’osservazione di fenomeni fisici e/o chimici.</w:t>
            </w:r>
          </w:p>
          <w:p w:rsidR="00C62876" w:rsidRDefault="006223E0">
            <w:pPr>
              <w:numPr>
                <w:ilvl w:val="0"/>
                <w:numId w:val="2"/>
              </w:numPr>
              <w:spacing w:after="240" w:line="362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Comprendere la terminologia scientifica corrente.</w:t>
            </w:r>
          </w:p>
          <w:p w:rsidR="00C62876" w:rsidRDefault="006223E0">
            <w:pPr>
              <w:spacing w:before="240" w:after="240" w:line="362" w:lineRule="auto"/>
              <w:ind w:left="6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C62876" w:rsidRDefault="006223E0">
            <w:pPr>
              <w:numPr>
                <w:ilvl w:val="0"/>
                <w:numId w:val="7"/>
              </w:numPr>
              <w:spacing w:after="240" w:line="362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Avviare ad un metodo razionale di conoscenze.</w:t>
            </w:r>
          </w:p>
          <w:p w:rsidR="00C62876" w:rsidRDefault="006223E0">
            <w:pPr>
              <w:spacing w:before="240" w:after="240" w:line="362" w:lineRule="auto"/>
              <w:ind w:left="6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C62876" w:rsidRDefault="006223E0">
            <w:pPr>
              <w:spacing w:before="240" w:after="240" w:line="362" w:lineRule="auto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·      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Sviluppare la cura e il controllo della propria salute</w:t>
            </w:r>
          </w:p>
          <w:p w:rsidR="00C62876" w:rsidRDefault="006223E0">
            <w:pPr>
              <w:spacing w:before="240" w:after="240" w:line="362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449" w:right="165"/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  <w:r>
              <w:lastRenderedPageBreak/>
              <w:t>L’alunno sa:</w:t>
            </w:r>
          </w:p>
          <w:p w:rsidR="00C62876" w:rsidRDefault="006223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indagare una trasformazione individuando se essa è chimica o fisica</w:t>
            </w:r>
          </w:p>
          <w:p w:rsidR="00C62876" w:rsidRDefault="006223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saper descrivere la struttura dell’atomo</w:t>
            </w:r>
          </w:p>
          <w:p w:rsidR="00C62876" w:rsidRDefault="006223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conoscere le principali caratteristiche della tavola periodica degli elementi</w:t>
            </w:r>
          </w:p>
          <w:p w:rsidR="00C62876" w:rsidRDefault="006223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descrivere le principali caratteristiche dei legami chimici</w:t>
            </w:r>
          </w:p>
          <w:p w:rsidR="00C62876" w:rsidRDefault="006223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 xml:space="preserve">indagare e misurare il grado di acidità di una sostanza misurandone il </w:t>
            </w:r>
            <w:proofErr w:type="spellStart"/>
            <w:r>
              <w:t>pH</w:t>
            </w:r>
            <w:proofErr w:type="spellEnd"/>
          </w:p>
          <w:p w:rsidR="00C62876" w:rsidRDefault="006223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 xml:space="preserve">Definire i vari tipi di moti e indagare le corrispondenti leggi </w:t>
            </w:r>
            <w:r>
              <w:lastRenderedPageBreak/>
              <w:t>orarie eseguendo misurazioni</w:t>
            </w:r>
          </w:p>
          <w:p w:rsidR="00C62876" w:rsidRDefault="006223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descrivere il moto di un corpo</w:t>
            </w:r>
          </w:p>
          <w:p w:rsidR="00C62876" w:rsidRDefault="006223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determinare le velocità medie di vari corpi</w:t>
            </w:r>
          </w:p>
          <w:p w:rsidR="00C62876" w:rsidRDefault="006223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leggere e disegnare diagrammi spazio-tempo di moto rettilineo uniforme o uniformemente a</w:t>
            </w:r>
            <w:r>
              <w:t>ccelerato</w:t>
            </w:r>
          </w:p>
          <w:p w:rsidR="00C62876" w:rsidRDefault="006223E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applicare le leggi orarie del moto rettilineo uniforme e del moto uniformemente accelerato per risolvere semplici problemi</w:t>
            </w: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720" w:right="326"/>
            </w:pP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spacing w:before="240" w:line="276" w:lineRule="auto"/>
              <w:ind w:left="3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lastRenderedPageBreak/>
              <w:t>··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  <w:t xml:space="preserve">·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 sostanze chimiche</w:t>
            </w:r>
          </w:p>
          <w:p w:rsidR="00C62876" w:rsidRDefault="006223E0">
            <w:pPr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Trasformazioni fisiche e chimiche</w:t>
            </w:r>
          </w:p>
          <w:p w:rsidR="00C62876" w:rsidRDefault="006223E0">
            <w:pPr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Molecole, elementi e composti</w:t>
            </w:r>
          </w:p>
          <w:p w:rsidR="00C62876" w:rsidRDefault="006223E0">
            <w:pPr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L’atomo e la tavola periodica degli elementi</w:t>
            </w:r>
          </w:p>
          <w:p w:rsidR="00C62876" w:rsidRDefault="006223E0">
            <w:pPr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L’acidità di una soluzione</w:t>
            </w:r>
          </w:p>
          <w:p w:rsidR="00C62876" w:rsidRDefault="00C62876">
            <w:pPr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62876" w:rsidRDefault="006223E0">
            <w:pPr>
              <w:spacing w:before="240" w:after="240" w:line="276" w:lineRule="auto"/>
              <w:ind w:left="3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Il moto dei corpi.</w:t>
            </w:r>
          </w:p>
          <w:p w:rsidR="00C62876" w:rsidRDefault="006223E0">
            <w:pPr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Come si descrive il moto di un corpo</w:t>
            </w:r>
          </w:p>
          <w:p w:rsidR="00C62876" w:rsidRDefault="006223E0">
            <w:pPr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 velocità e il moto rettilineo uniforme</w:t>
            </w:r>
          </w:p>
          <w:p w:rsidR="00C62876" w:rsidRDefault="006223E0">
            <w:pPr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L’accelerazione e il moto uniformemente accelerato</w:t>
            </w:r>
          </w:p>
          <w:p w:rsidR="00C62876" w:rsidRDefault="00C62876">
            <w:pPr>
              <w:spacing w:before="240" w:after="24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62876" w:rsidRDefault="00C62876">
            <w:pPr>
              <w:spacing w:before="240" w:line="276" w:lineRule="auto"/>
              <w:ind w:left="360"/>
              <w:rPr>
                <w:sz w:val="28"/>
                <w:szCs w:val="28"/>
              </w:rPr>
            </w:pPr>
          </w:p>
          <w:p w:rsidR="00C62876" w:rsidRDefault="006223E0">
            <w:pPr>
              <w:spacing w:before="240" w:after="240" w:line="276" w:lineRule="auto"/>
            </w:pPr>
            <w:r>
              <w:t xml:space="preserve"> </w:t>
            </w:r>
          </w:p>
          <w:p w:rsidR="00C62876" w:rsidRDefault="00C62876">
            <w:pPr>
              <w:spacing w:before="240" w:after="240" w:line="276" w:lineRule="auto"/>
            </w:pPr>
          </w:p>
        </w:tc>
      </w:tr>
      <w:tr w:rsidR="00C62876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C62876"/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C6287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right="326"/>
            </w:pP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</w:tr>
      <w:tr w:rsidR="00C62876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b/>
                <w:color w:val="000000"/>
              </w:rPr>
            </w:pPr>
            <w:r>
              <w:rPr>
                <w:b/>
              </w:rPr>
              <w:t>BIOLOGIA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numPr>
                <w:ilvl w:val="0"/>
                <w:numId w:val="2"/>
              </w:numPr>
              <w:spacing w:line="362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Saper organizzare, secondo il metodo scientifico, l’osservazione di fenomeni fisici e/o chimici.</w:t>
            </w:r>
          </w:p>
          <w:p w:rsidR="00C62876" w:rsidRDefault="006223E0">
            <w:pPr>
              <w:numPr>
                <w:ilvl w:val="0"/>
                <w:numId w:val="2"/>
              </w:numPr>
              <w:spacing w:after="240" w:line="362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Comprendere la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terminologia scientifica corrente.</w:t>
            </w:r>
          </w:p>
          <w:p w:rsidR="00C62876" w:rsidRDefault="006223E0">
            <w:pPr>
              <w:spacing w:before="240" w:after="240" w:line="362" w:lineRule="auto"/>
              <w:ind w:left="6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C62876" w:rsidRDefault="006223E0">
            <w:pPr>
              <w:numPr>
                <w:ilvl w:val="0"/>
                <w:numId w:val="7"/>
              </w:numPr>
              <w:spacing w:after="240" w:line="362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Avviare ad un metodo razionale di conoscenze.</w:t>
            </w:r>
          </w:p>
          <w:p w:rsidR="00C62876" w:rsidRDefault="006223E0">
            <w:pPr>
              <w:spacing w:before="240" w:after="240" w:line="362" w:lineRule="auto"/>
              <w:ind w:left="6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C62876" w:rsidRDefault="006223E0">
            <w:pPr>
              <w:numPr>
                <w:ilvl w:val="0"/>
                <w:numId w:val="12"/>
              </w:numPr>
              <w:spacing w:before="240" w:after="240" w:line="36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Sviluppare la cura e il controllo della propria salute</w:t>
            </w: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right="326"/>
            </w:pPr>
            <w:r>
              <w:lastRenderedPageBreak/>
              <w:t>Descrivere la struttura e le funzioni del sistema scheletrico e di quello muscolare</w:t>
            </w:r>
          </w:p>
          <w:p w:rsidR="00C62876" w:rsidRDefault="006223E0">
            <w:pPr>
              <w:numPr>
                <w:ilvl w:val="0"/>
                <w:numId w:val="10"/>
              </w:numPr>
              <w:tabs>
                <w:tab w:val="left" w:pos="448"/>
              </w:tabs>
              <w:spacing w:line="348" w:lineRule="auto"/>
              <w:ind w:right="326"/>
            </w:pPr>
            <w:r>
              <w:t>documentarsi circa le malattie comuni dell’apparato muscolo-scheletrico indicando comportamenti corretti</w:t>
            </w:r>
          </w:p>
          <w:p w:rsidR="00C62876" w:rsidRDefault="0062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 xml:space="preserve">Conoscere la composizione del </w:t>
            </w:r>
            <w:r>
              <w:lastRenderedPageBreak/>
              <w:t>sangue e la struttura dei vasi sangui</w:t>
            </w:r>
            <w:r>
              <w:t>gni</w:t>
            </w:r>
          </w:p>
          <w:p w:rsidR="00C62876" w:rsidRDefault="0062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conoscere la struttura del cuore e come avviene il ciclo cardiaco</w:t>
            </w:r>
          </w:p>
          <w:p w:rsidR="00C62876" w:rsidRDefault="0062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documentarsi circa le malattie comuni dell’apparato cardio-circolatorio indicando comportamenti corretti</w:t>
            </w:r>
          </w:p>
          <w:p w:rsidR="00C62876" w:rsidRDefault="0062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conoscere il significato di barriere naturali come linee di difesa dell’organismo</w:t>
            </w:r>
          </w:p>
          <w:p w:rsidR="00C62876" w:rsidRDefault="0062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conoscere le cellule che fanno parte del sistema immunitario e le loro principali funzioni</w:t>
            </w:r>
          </w:p>
          <w:p w:rsidR="00C62876" w:rsidRDefault="0062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descrivere la struttura e le funzioni dei vari organi dell’apparato digerente</w:t>
            </w:r>
          </w:p>
          <w:p w:rsidR="00C62876" w:rsidRDefault="0062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osservare, indagare e ricercare  alcuni principi nutritivi negli alimenti comuni</w:t>
            </w:r>
          </w:p>
          <w:p w:rsidR="00C62876" w:rsidRDefault="0062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descr</w:t>
            </w:r>
            <w:r>
              <w:t>ivere l’azione chimica di alcune sostanze in relazione alla digestione degli alimenti</w:t>
            </w:r>
          </w:p>
          <w:p w:rsidR="00C62876" w:rsidRDefault="0062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 xml:space="preserve">saper calcolare l’energia fornita da </w:t>
            </w:r>
            <w:r>
              <w:lastRenderedPageBreak/>
              <w:t>un pasto</w:t>
            </w:r>
          </w:p>
          <w:p w:rsidR="00C62876" w:rsidRDefault="0062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documentarsi su alcune malattie dell’apparato digerente e sui modi per prevenirle</w:t>
            </w:r>
          </w:p>
          <w:p w:rsidR="00C62876" w:rsidRDefault="0062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conoscere la struttura e le funzioni dell’apparato respiratorio</w:t>
            </w:r>
          </w:p>
          <w:p w:rsidR="00C62876" w:rsidRDefault="006223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correlare respirazione polmonare e respirazione cellulare</w:t>
            </w:r>
          </w:p>
          <w:p w:rsidR="00C62876" w:rsidRDefault="006223E0">
            <w:pPr>
              <w:numPr>
                <w:ilvl w:val="0"/>
                <w:numId w:val="10"/>
              </w:numPr>
              <w:tabs>
                <w:tab w:val="left" w:pos="448"/>
              </w:tabs>
              <w:spacing w:line="348" w:lineRule="auto"/>
              <w:ind w:right="326"/>
            </w:pPr>
            <w:r>
              <w:t>documentarsi circa le malattie comuni dell’apparato respiratorio e sui modi per prevenirle</w:t>
            </w:r>
          </w:p>
          <w:p w:rsidR="00C62876" w:rsidRDefault="00C6287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C62876">
            <w:pPr>
              <w:spacing w:before="240" w:after="240" w:line="276" w:lineRule="auto"/>
              <w:ind w:left="360"/>
            </w:pPr>
          </w:p>
          <w:p w:rsidR="00C62876" w:rsidRDefault="006223E0">
            <w:pPr>
              <w:spacing w:before="240" w:after="240" w:line="276" w:lineRule="auto"/>
              <w:ind w:left="360"/>
              <w:rPr>
                <w:rFonts w:ascii="Calibri" w:eastAsia="Calibri" w:hAnsi="Calibri" w:cs="Calibri"/>
                <w:b/>
              </w:rPr>
            </w:pPr>
            <w: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Il corpo umano</w:t>
            </w:r>
          </w:p>
          <w:p w:rsidR="00C62876" w:rsidRDefault="006223E0">
            <w:pPr>
              <w:spacing w:before="240" w:after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parti del corpo</w:t>
            </w:r>
            <w:r>
              <w:rPr>
                <w:rFonts w:ascii="Calibri" w:eastAsia="Calibri" w:hAnsi="Calibri" w:cs="Calibri"/>
              </w:rPr>
              <w:t xml:space="preserve"> umano</w:t>
            </w:r>
          </w:p>
          <w:p w:rsidR="00C62876" w:rsidRDefault="006223E0">
            <w:pPr>
              <w:spacing w:before="240" w:after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Organi, apparati, sistemi e tessuti</w:t>
            </w:r>
          </w:p>
          <w:p w:rsidR="00C62876" w:rsidRDefault="006223E0">
            <w:pPr>
              <w:spacing w:before="240" w:after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sostegno e il movimento: sistema scheletrico e sistema muscolare</w:t>
            </w:r>
          </w:p>
          <w:p w:rsidR="00C62876" w:rsidRDefault="006223E0">
            <w:pPr>
              <w:spacing w:before="240" w:after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La circolazione e le difese immunitarie</w:t>
            </w:r>
          </w:p>
          <w:p w:rsidR="00C62876" w:rsidRDefault="006223E0">
            <w:pPr>
              <w:spacing w:before="240" w:after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L’alimentazione e l’apparato digerente</w:t>
            </w:r>
          </w:p>
          <w:p w:rsidR="00C62876" w:rsidRDefault="006223E0">
            <w:pPr>
              <w:spacing w:before="240" w:after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respirazione e lo scambio dei gas</w:t>
            </w:r>
          </w:p>
          <w:p w:rsidR="00C62876" w:rsidRDefault="00C62876">
            <w:pPr>
              <w:spacing w:before="240" w:line="276" w:lineRule="auto"/>
            </w:pPr>
          </w:p>
        </w:tc>
      </w:tr>
      <w:tr w:rsidR="00C62876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C628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</w:tc>
      </w:tr>
    </w:tbl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2876" w:rsidRDefault="006223E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  <w:r>
        <w:br w:type="page"/>
      </w:r>
    </w:p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0"/>
        <w:tblW w:w="1549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10141"/>
      </w:tblGrid>
      <w:tr w:rsidR="00C62876">
        <w:tc>
          <w:tcPr>
            <w:tcW w:w="15496" w:type="dxa"/>
            <w:gridSpan w:val="2"/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3524"/>
              <w:rPr>
                <w:rFonts w:ascii="Verdana" w:eastAsia="Verdana" w:hAnsi="Verdana" w:cs="Verdana"/>
                <w:color w:val="FFFFFF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FFFFFF"/>
                <w:sz w:val="28"/>
                <w:szCs w:val="28"/>
              </w:rPr>
              <w:t>COMPETENZE DI BASE AL TERMINE DELLA CLASSE SECONDA</w:t>
            </w:r>
          </w:p>
        </w:tc>
      </w:tr>
      <w:tr w:rsidR="00C62876">
        <w:tc>
          <w:tcPr>
            <w:tcW w:w="15496" w:type="dxa"/>
            <w:gridSpan w:val="2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-100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SCIENZE</w:t>
            </w:r>
          </w:p>
        </w:tc>
      </w:tr>
      <w:tr w:rsidR="00C62876">
        <w:tc>
          <w:tcPr>
            <w:tcW w:w="535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3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NUCLEI FONDANTI </w:t>
            </w:r>
          </w:p>
        </w:tc>
        <w:tc>
          <w:tcPr>
            <w:tcW w:w="1014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26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COMPETENZE</w:t>
            </w:r>
          </w:p>
        </w:tc>
      </w:tr>
      <w:tr w:rsidR="00C62876">
        <w:tc>
          <w:tcPr>
            <w:tcW w:w="5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CHIMICA E FISICA</w:t>
            </w:r>
          </w:p>
        </w:tc>
        <w:tc>
          <w:tcPr>
            <w:tcW w:w="10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padroneggiare concetti di trasformazione chimica, sperimentare reazioni non pericolose, anche con prodotti chimici di uso domestico e interpretarli sulla base di modelli semplici di struttura della materia; osservare e descrivere lo svolgersi delle reazion</w:t>
            </w:r>
            <w:r>
              <w:rPr>
                <w:rFonts w:ascii="Calibri" w:eastAsia="Calibri" w:hAnsi="Calibri" w:cs="Calibri"/>
              </w:rPr>
              <w:t>i e i prodotti ottenuti</w:t>
            </w:r>
          </w:p>
          <w:p w:rsidR="00C62876" w:rsidRDefault="006223E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Utilizzare i concetti fisici fondamentali in varie situazioni di esperienza, in alcuni casi raccogliere dati su variabili rilevanti di differenti fenomeni, trovare relazioni quantitative ed esprimerle con rappresentazioni formali di</w:t>
            </w:r>
            <w:r>
              <w:rPr>
                <w:rFonts w:ascii="Calibri" w:eastAsia="Calibri" w:hAnsi="Calibri" w:cs="Calibri"/>
              </w:rPr>
              <w:t xml:space="preserve"> tipo diverso, realizzare semplici esperienze pratiche</w:t>
            </w:r>
          </w:p>
        </w:tc>
      </w:tr>
      <w:tr w:rsidR="00C62876">
        <w:tc>
          <w:tcPr>
            <w:tcW w:w="5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BIOLOGIA</w:t>
            </w:r>
          </w:p>
        </w:tc>
        <w:tc>
          <w:tcPr>
            <w:tcW w:w="10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</w:pPr>
          </w:p>
          <w:p w:rsidR="00C62876" w:rsidRDefault="006223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ind w:hanging="360"/>
            </w:pPr>
            <w:r>
              <w:t>sviluppare progressivamente la capacità di spiegare il funzionamento macroscopico dei viventi con un modello cellulare</w:t>
            </w:r>
          </w:p>
          <w:p w:rsidR="00C62876" w:rsidRDefault="006223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t>sviluppare la cura e il controllo della propria salute attraverso una corretta alimentazione</w:t>
            </w:r>
          </w:p>
        </w:tc>
      </w:tr>
      <w:tr w:rsidR="00C62876">
        <w:tc>
          <w:tcPr>
            <w:tcW w:w="5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4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0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876" w:rsidRDefault="00C62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ind w:hanging="360"/>
            </w:pPr>
          </w:p>
        </w:tc>
      </w:tr>
    </w:tbl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a1"/>
        <w:tblW w:w="15365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2"/>
        <w:gridCol w:w="551"/>
        <w:gridCol w:w="3137"/>
        <w:gridCol w:w="4983"/>
        <w:gridCol w:w="412"/>
      </w:tblGrid>
      <w:tr w:rsidR="00C62876">
        <w:tc>
          <w:tcPr>
            <w:tcW w:w="15364" w:type="dxa"/>
            <w:gridSpan w:val="5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METODOLOGIA</w:t>
            </w: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Brainstorming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Cooperative Learning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Lezione frontale e/o dialogata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Tutoring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Conversazioni e discussioni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Didattica Laboratoriale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Problem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solving</w:t>
            </w:r>
            <w:proofErr w:type="spellEnd"/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Correzione collettiva delle attività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Lavoro Individuale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Riflessioni metacognitive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Ricerche autonome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Role-Playing</w:t>
            </w:r>
            <w:proofErr w:type="spellEnd"/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Peer </w:t>
            </w:r>
            <w:proofErr w:type="spellStart"/>
            <w:r>
              <w:rPr>
                <w:rFonts w:ascii="Verdana" w:eastAsia="Verdana" w:hAnsi="Verdana" w:cs="Verdana"/>
              </w:rPr>
              <w:t>Education</w:t>
            </w:r>
            <w:proofErr w:type="spellEnd"/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15364" w:type="dxa"/>
            <w:gridSpan w:val="5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PIATTAFORME E CANALI DI COMUNICAZIONE</w:t>
            </w: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</w:tc>
      </w:tr>
      <w:tr w:rsidR="00C62876">
        <w:tc>
          <w:tcPr>
            <w:tcW w:w="1536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b/>
              </w:rPr>
            </w:pPr>
          </w:p>
          <w:p w:rsidR="00C62876" w:rsidRDefault="006223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Piattaforma G-suite/</w:t>
            </w:r>
            <w:proofErr w:type="spellStart"/>
            <w:r>
              <w:rPr>
                <w:rFonts w:ascii="Verdana" w:eastAsia="Verdana" w:hAnsi="Verdana" w:cs="Verdana"/>
              </w:rPr>
              <w:t>Classroom</w:t>
            </w:r>
            <w:proofErr w:type="spellEnd"/>
          </w:p>
          <w:p w:rsidR="00C62876" w:rsidRDefault="006223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proofErr w:type="spellStart"/>
            <w:r>
              <w:rPr>
                <w:rFonts w:ascii="Verdana" w:eastAsia="Verdana" w:hAnsi="Verdana" w:cs="Verdana"/>
              </w:rPr>
              <w:t>WhatsApp</w:t>
            </w:r>
            <w:proofErr w:type="spellEnd"/>
          </w:p>
          <w:p w:rsidR="00C62876" w:rsidRDefault="006223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Registro elettronico</w:t>
            </w:r>
          </w:p>
          <w:p w:rsidR="00C62876" w:rsidRDefault="006223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Altro…</w:t>
            </w: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15364" w:type="dxa"/>
            <w:gridSpan w:val="5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MATERIALE DI STUDIO PROPOSTI</w:t>
            </w:r>
          </w:p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Libri di testo/libri a tema/digitali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Schede didattiche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Materiale audiovisivi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Strumenti specifici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Strumenti informatici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Mediatori iconici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Software informatici specifici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Risorse digitali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Giochi didattici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Mappe/Schemi/Tabelle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Materiali prodotti dal docente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62876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6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Materiali prodotti dalle case editrici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Default="00C62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:rsidR="00C62876" w:rsidRDefault="00C6287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sectPr w:rsidR="00C62876">
      <w:footerReference w:type="default" r:id="rId8"/>
      <w:pgSz w:w="16860" w:h="11920"/>
      <w:pgMar w:top="1100" w:right="620" w:bottom="1140" w:left="5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E0" w:rsidRDefault="006223E0">
      <w:r>
        <w:separator/>
      </w:r>
    </w:p>
  </w:endnote>
  <w:endnote w:type="continuationSeparator" w:id="0">
    <w:p w:rsidR="006223E0" w:rsidRDefault="0062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76" w:rsidRDefault="006223E0">
    <w:pPr>
      <w:pBdr>
        <w:top w:val="nil"/>
        <w:left w:val="nil"/>
        <w:bottom w:val="nil"/>
        <w:right w:val="nil"/>
        <w:between w:val="nil"/>
      </w:pBdr>
      <w:spacing w:line="244" w:lineRule="auto"/>
      <w:ind w:left="4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 w:rsidR="00FA00B9">
      <w:rPr>
        <w:rFonts w:ascii="Calibri" w:eastAsia="Calibri" w:hAnsi="Calibri" w:cs="Calibri"/>
        <w:sz w:val="22"/>
        <w:szCs w:val="22"/>
      </w:rPr>
      <w:fldChar w:fldCharType="separate"/>
    </w:r>
    <w:r w:rsidR="00FA00B9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E0" w:rsidRDefault="006223E0">
      <w:r>
        <w:separator/>
      </w:r>
    </w:p>
  </w:footnote>
  <w:footnote w:type="continuationSeparator" w:id="0">
    <w:p w:rsidR="006223E0" w:rsidRDefault="0062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60C"/>
    <w:multiLevelType w:val="multilevel"/>
    <w:tmpl w:val="4300A168"/>
    <w:lvl w:ilvl="0">
      <w:start w:val="1"/>
      <w:numFmt w:val="bullet"/>
      <w:lvlText w:val="-"/>
      <w:lvlJc w:val="left"/>
      <w:pPr>
        <w:ind w:left="449" w:hanging="449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169" w:hanging="116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9" w:hanging="188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609" w:hanging="26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29" w:hanging="332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9" w:hanging="404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769" w:hanging="476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89" w:hanging="548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9" w:hanging="62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077F4576"/>
    <w:multiLevelType w:val="multilevel"/>
    <w:tmpl w:val="F6408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0D1D64"/>
    <w:multiLevelType w:val="multilevel"/>
    <w:tmpl w:val="5C324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0A343D7"/>
    <w:multiLevelType w:val="multilevel"/>
    <w:tmpl w:val="8DE65AFC"/>
    <w:lvl w:ilvl="0">
      <w:start w:val="1"/>
      <w:numFmt w:val="bullet"/>
      <w:lvlText w:val="✓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29A67F3F"/>
    <w:multiLevelType w:val="multilevel"/>
    <w:tmpl w:val="CCC8B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4355A40"/>
    <w:multiLevelType w:val="multilevel"/>
    <w:tmpl w:val="01B6E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1F61390"/>
    <w:multiLevelType w:val="multilevel"/>
    <w:tmpl w:val="5DB2D826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546B6504"/>
    <w:multiLevelType w:val="multilevel"/>
    <w:tmpl w:val="308A68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41670D2"/>
    <w:multiLevelType w:val="multilevel"/>
    <w:tmpl w:val="D8ACFA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468255D"/>
    <w:multiLevelType w:val="multilevel"/>
    <w:tmpl w:val="2B745C5E"/>
    <w:lvl w:ilvl="0">
      <w:start w:val="1"/>
      <w:numFmt w:val="bullet"/>
      <w:lvlText w:val="∙"/>
      <w:lvlJc w:val="left"/>
      <w:pPr>
        <w:ind w:left="809" w:hanging="8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529" w:hanging="152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49" w:hanging="224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969" w:hanging="296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89" w:hanging="368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09" w:hanging="44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129" w:hanging="512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849" w:hanging="584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69" w:hanging="656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>
    <w:nsid w:val="659A037C"/>
    <w:multiLevelType w:val="multilevel"/>
    <w:tmpl w:val="99D4FE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ADA7822"/>
    <w:multiLevelType w:val="multilevel"/>
    <w:tmpl w:val="1BA27D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2876"/>
    <w:rsid w:val="006223E0"/>
    <w:rsid w:val="00C62876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kety ciciliani</dc:creator>
  <cp:lastModifiedBy>kety ciciliani</cp:lastModifiedBy>
  <cp:revision>2</cp:revision>
  <dcterms:created xsi:type="dcterms:W3CDTF">2020-06-29T13:22:00Z</dcterms:created>
  <dcterms:modified xsi:type="dcterms:W3CDTF">2020-06-29T13:22:00Z</dcterms:modified>
</cp:coreProperties>
</file>