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after="60" w:before="0" w:line="300" w:lineRule="auto"/>
        <w:jc w:val="center"/>
        <w:rPr>
          <w:color w:val="333333"/>
          <w:sz w:val="28"/>
          <w:szCs w:val="28"/>
        </w:rPr>
      </w:pPr>
      <w:r w:rsidDel="00000000" w:rsidR="00000000" w:rsidRPr="00000000">
        <w:rPr>
          <w:color w:val="333333"/>
          <w:sz w:val="28"/>
          <w:szCs w:val="28"/>
          <w:rtl w:val="0"/>
        </w:rPr>
        <w:t xml:space="preserve">Istituto Comprensivo Pio Fedi Grotte S. Stefano</w:t>
      </w:r>
    </w:p>
    <w:p w:rsidR="00000000" w:rsidDel="00000000" w:rsidP="00000000" w:rsidRDefault="00000000" w:rsidRPr="00000000" w14:paraId="00000003">
      <w:pPr>
        <w:pStyle w:val="Heading2"/>
        <w:spacing w:after="20" w:before="0" w:line="300" w:lineRule="auto"/>
        <w:jc w:val="center"/>
        <w:rPr>
          <w:rFonts w:ascii="Arial" w:cs="Arial" w:eastAsia="Arial" w:hAnsi="Arial"/>
          <w:b w:val="1"/>
          <w:bCs w:val="1"/>
          <w:i w:val="0"/>
          <w:iCs w:val="0"/>
          <w:color w:val="333333"/>
          <w:sz w:val="28"/>
          <w:szCs w:val="28"/>
        </w:rPr>
      </w:pPr>
      <w:bookmarkStart w:colFirst="0" w:colLast="0" w:name="_heading=h.wcox4dxeo8jc" w:id="0"/>
      <w:bookmarkEnd w:id="0"/>
      <w:r w:rsidDel="00000000" w:rsidR="00000000" w:rsidRPr="00000000">
        <w:rPr>
          <w:color w:val="333333"/>
          <w:sz w:val="28"/>
          <w:szCs w:val="28"/>
          <w:rtl w:val="0"/>
        </w:rPr>
        <w:t xml:space="preserve">Programmazione d'Istituto — Scuola Secondaria di Primo Grado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jc w:val="center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DIPARTIMENTO DI EDUCAZIONE MOTORIA E SPORTIVA — CLASSI PRIME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MATERIA: EDUCAZIONE MOTORIA E SPORTIVA (Ex Scienze Motorie e Sportive)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="300" w:lineRule="auto"/>
        <w:rPr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Nota di aggiornamento alle Nuove Indicazioni Nazionali 2025: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Denominazione e Inquadramento: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La disciplina assume la denominazione ufficiale di Educazione Motoria e Sportiva (o Educazione Motoria), sottolineando la dimensione formativa, civica, espressiva e pratica del movimento corporeo.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Pratica, Salute e Corretti Stili di Vita: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Centralità del benessere psico-fisico, della prevenzione della sedentarietà, dell'alfabetizzazione motoria di base e della postura.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Fair Play e Cittadinanza: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Valorizzazione del gioco di squadra, del rispetto delle regole, dell'inclusione, della gestione delle emozioni e del rifiuto della violenza e del doping.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Digital &amp; Wearable Tech: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Uso critico e consapevole di cardiofrequenzimetri, contapassi, app per il tracciamento motorio e strumenti d'IA per la valutazione personale e la promozione di sani stili di vita.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00" w:lineRule="auto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1. QUADRO DELLE COMPETENZE (Indicazioni Nazionali 2025)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="300" w:lineRule="auto"/>
        <w:rPr>
          <w:rFonts w:ascii="Arial" w:cs="Arial" w:eastAsia="Arial" w:hAnsi="Arial"/>
          <w:b w:val="1"/>
          <w:bCs w:val="1"/>
          <w:color w:val="2b6cb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b6cb0"/>
          <w:sz w:val="22"/>
          <w:szCs w:val="22"/>
          <w:rtl w:val="0"/>
        </w:rPr>
        <w:t xml:space="preserve">Competenze Chiave Europee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personale, sociale e capacità di imparare a imparare: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Sviluppo della consapevolezza del proprio corpo, coordinazione motoria, gestione delle emozioni e promozione del benessere psico-fisico e di stili di vita attivi.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in materia di cittadinanza ed Educazione Civica (Fair Play):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Rispetto di sé, degli altri, dell'avversario e delle regole sportive; cooperazione nel lavoro di squadra, inclusione della diversità e valorizzazione dell'integrità morale.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in materia di consapevolezza ed espressione culturali: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Riconoscimento del valore della cultura del movimento, delle tradizioni sportive, del linguaggio del corpo e dell'espressione corporeo-cinestetica.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Competenza digitale e di monitoraggio della salute:</w:t>
      </w: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 Uso critico, sicuro e ancillare delle wearable technologies, delle app sportive e dell'Intelligenza Artificiale per l'analisi e il tracciamento controllato dell'attività fisica.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300" w:lineRule="auto"/>
        <w:rPr>
          <w:rFonts w:ascii="Arial" w:cs="Arial" w:eastAsia="Arial" w:hAnsi="Arial"/>
          <w:b w:val="1"/>
          <w:bCs w:val="1"/>
          <w:color w:val="2b6cb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b6cb0"/>
          <w:sz w:val="22"/>
          <w:szCs w:val="22"/>
          <w:rtl w:val="0"/>
        </w:rPr>
        <w:t xml:space="preserve">Competenze Trasversali ed Educative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Conoscere, controllare e coordinare il proprio corpo nello spazio e nel tempo.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Praticare una vasta gamma di attività motorie, pre-sportive e sportive (individuali e di squadra) con spirito collaborativo.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Adottare comportamenti volti alla prevenzione degli infortuni, alla sicurezza, all'igiene personale e alla nutrizione equilibrata.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Accettare i propri limiti, gestire la vittoria e la sconfitta e promuovere il rispetto rigoroso del Fair Play.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Esercitare un approccio responsabile ed etico verso le tecnologie di supporto all'allenamento e all'analisi biomeccanica.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00" w:lineRule="auto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2. NUCLEI FONDANTI E COMPETENZE DISCIPLINARI</w:t>
      </w:r>
    </w:p>
    <w:tbl>
      <w:tblPr>
        <w:tblStyle w:val="Table1"/>
        <w:tblW w:w="9360.000000000002" w:type="dxa"/>
        <w:jc w:val="left"/>
        <w:tblBorders>
          <w:top w:color="cbd5e0" w:space="0" w:sz="8" w:val="single"/>
          <w:left w:color="cbd5e0" w:space="0" w:sz="8" w:val="single"/>
          <w:bottom w:color="cbd5e0" w:space="0" w:sz="8" w:val="single"/>
          <w:right w:color="cbd5e0" w:space="0" w:sz="8" w:val="single"/>
          <w:insideH w:color="cbd5e0" w:space="0" w:sz="8" w:val="single"/>
          <w:insideV w:color="cbd5e0" w:space="0" w:sz="8" w:val="single"/>
        </w:tblBorders>
        <w:tblLayout w:type="fixed"/>
        <w:tblLook w:val="0600"/>
      </w:tblPr>
      <w:tblGrid>
        <w:gridCol w:w="2059.2"/>
        <w:gridCol w:w="2433.6000000000004"/>
        <w:gridCol w:w="2433.6000000000004"/>
        <w:gridCol w:w="2433.6000000000004"/>
        <w:tblGridChange w:id="0">
          <w:tblGrid>
            <w:gridCol w:w="2059.2"/>
            <w:gridCol w:w="2433.6000000000004"/>
            <w:gridCol w:w="2433.6000000000004"/>
            <w:gridCol w:w="2433.600000000000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2b6cb0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Nucleo Fondante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2b6cb0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Competenza Attesa (NIN 2025)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2b6cb0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Abilità Specifiche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2b6cb0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shd w:fill="auto" w:val="clear"/>
                <w:rtl w:val="0"/>
              </w:rPr>
              <w:t xml:space="preserve">Argomenti e Contenuti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color w:val="222222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f7fafc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  <w:rtl w:val="0"/>
              </w:rPr>
              <w:t xml:space="preserve">Il Corpo e la sua Relazione con lo Spazio e il Tempo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Migliorare e sviluppare le capacità condizionali e coordinative, padroneggiando gli schemi motori di base e posturali in relazione alle variabili spazio-temporali.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Utilizzare e trasferire le abilità per la realizzazione dei gesti tecnici dei vari sport.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Risolvere situazioni motorie nuove o inusuali.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Correlare le variabili spazio-temporali funzionali al gesto tecnico.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Riconoscere ed orientare il proprio corpo (lateralità dx/sx, equilibri, percezione oculo-manuale e periferica).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Sviluppo di forza, velocità, resistenza e mobilità articolare mediante attività multilaterale.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Capacità coordinative semplici e complesse (apprendimento, adattamento e controllo motorio).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Riequilibrio dello schema corporeo, postura, lateralità ed equilibrio statico/dinamico.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Circuiti, staffette, percorsi di destrezza, rotolamenti, andature ritmiche e sensibilità propriocettiva.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f7fafc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  <w:rtl w:val="0"/>
              </w:rPr>
              <w:t xml:space="preserve">Il Linguaggio del Corpo ed Espressività Corporea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Utilizzare il linguaggio del corpo come modalità comunicativo-espressiva, comprendendo e rielaborando i gesti sportivi ed arbitrali.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Decodificare i gesti arbitrali in relazione al regolamento di gioco.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Riconoscere, analizzare e correggere i gesti motori propri e dei compagni tramite l'osservazione sistematica.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Comunicare idee e stati d'animo mediante la gestualità e l'espressività corporea.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Osservazione e analisi dei gesti motori delle varie specialità sportive.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Tecniche di espressione corporea per rappresentare idee di gruppo e stati d'animo.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Decodifica del linguaggio non verbale e della gestualità arbitrale.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f7fafc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  <w:rtl w:val="0"/>
              </w:rPr>
              <w:t xml:space="preserve">Il Gioco, lo Sport, le Regole e il Fair Play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Collaborare alle proposte sportive, rispettare compagni e docenti, accettare le decisioni arbitrali, la vittoria e la sconfitta, applicando il regolamento tecnico.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Padroneggiare e adattare le capacità coordinative alle situazioni di gioco con creatività.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Mettere in atto strategie e comportamenti collaborativi per il bene della squadra.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Applicare i regolamenti e assumere il ruolo di arbitro o giudice.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Gestire le situazioni competitive con autocontrollo e rispetto dell'avversario.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Il gioco come aggregazione e rispetto della regola.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Pallavolo: fondamentali (palleggio, passaggio, bagher, battuta, schiacciata, muro) e schemi di gioco.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Pallacanestro: fondamentali (palleggio, passaggio, tiro) e situazioni 1vs1, 2vs2, 3vs3.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Mini-Rugby: passaggio, avanzamento, sostegno, meta.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Calcio, Pallamano e Tennistavolo: avviamento ai fondamentali e gioco.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Atletica Leggera: corse veloci/resistenza, lanci, salti, staffette e percorsi.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f7fafc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  <w:rtl w:val="0"/>
              </w:rPr>
              <w:t xml:space="preserve">Salute, Benessere, Prevenzione e Sicurezza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Riconoscere il linguaggio cinestetico, adottare stili di vita sani, prevenire gli infortuni e comprendere l'importanza dell'efficienza fisica e della sicurezza.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Conoscere i cambiamenti morfologici dell'età evolutiva e distribuire lo sforzo motorio.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Applicare tecniche di controllo respiratorio e rilassamento.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Utilizzare e riporre gli attrezzi in sicurezza.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Rilevare la frequenza cardiaca a riposo e sotto sforzo.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Riconoscere i rischi legati a doping, alcol e sostanze illecite.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Concetti generali di igiene, educazione alla salute, allenamento e affaticamento.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Cenni di auxologia, paramorfismi/dimorfismi e postura corretta.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Esercizi posturali, respiratori e rilevazione della frequenza cardiaca.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Prevenzione del doping e delle dipendenze; sicurezza negli spazi scolastici ed esterni.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f7fafc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shd w:fill="auto" w:val="clear"/>
                <w:vertAlign w:val="baseline"/>
                <w:rtl w:val="0"/>
              </w:rPr>
              <w:t xml:space="preserve">Digital Health, Wearable Tech e Intelligenza Artificiale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300" w:lineRule="auto"/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Utilizzare strumenti digitali (cardiofrequenzimetri, contapassi, app sportive, video-analisi) e IA in modo critico, controllato ed etico per il monitoraggio motorio.</w:t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Interpretare dati essenziali dell'attività fisica (passi, frequenza cardiaca, tempo di recupero) rilevati da app e smartwatch.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Sviluppare spirito critico verso i modelli estetici veicolati dai media.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Utilizzare la video-analisi per l'autocorrezione del gesto tecnico.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8" w:val="single"/>
              <w:left w:color="cbd5e0" w:space="0" w:sz="8" w:val="single"/>
              <w:bottom w:color="cbd5e0" w:space="0" w:sz="8" w:val="single"/>
              <w:right w:color="cbd5e0" w:space="0" w:sz="8" w:val="single"/>
            </w:tcBorders>
            <w:shd w:fill="auto" w:val="clear"/>
            <w:tcMar>
              <w:top w:w="240.0" w:type="dxa"/>
              <w:left w:w="240.0" w:type="dxa"/>
              <w:bottom w:w="240.0" w:type="dxa"/>
              <w:right w:w="24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Monitoraggio digitale dell'attività motoria personale.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300" w:lineRule="auto"/>
              <w:ind w:left="210" w:hanging="360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vertAlign w:val="baseline"/>
                <w:rtl w:val="0"/>
              </w:rPr>
              <w:t xml:space="preserve">Uso guidato della video-analisi e di strumenti d'IA per la comprensione dei dati fisiologici di base.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00" w:lineRule="auto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3. PROGRAMMAZIONE DIDATTICA PER QUADRIMESTRI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="300" w:lineRule="auto"/>
        <w:rPr>
          <w:rFonts w:ascii="Arial" w:cs="Arial" w:eastAsia="Arial" w:hAnsi="Arial"/>
          <w:b w:val="1"/>
          <w:bCs w:val="1"/>
          <w:color w:val="2b6cb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b6cb0"/>
          <w:sz w:val="22"/>
          <w:szCs w:val="22"/>
          <w:rtl w:val="0"/>
        </w:rPr>
        <w:t xml:space="preserve">1° QUADRIMESTRE</w:t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Percettivo-Motorio, Schemi di Base e Capacità Condizionali:</w:t>
      </w:r>
    </w:p>
    <w:p w:rsidR="00000000" w:rsidDel="00000000" w:rsidP="00000000" w:rsidRDefault="00000000" w:rsidRPr="00000000" w14:paraId="0000005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Consolidamento e riequilibrio degli schemi motori di base e posturali.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Sviluppo delle capacità condizionali (forza, velocità, resistenza, mobilità articolare) tramite attività polivalente e multilaterale.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Sviluppo delle capacità coordinative (apprendimento, adattamento, controllo motorio, equilibrio statico/dinamico, destrezza, oculo-manuale).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Presa di coscienza della postura, della colonna vertebrale e della lateralità.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Linguaggio del Corpo ed Espressività:</w:t>
      </w:r>
    </w:p>
    <w:p w:rsidR="00000000" w:rsidDel="00000000" w:rsidP="00000000" w:rsidRDefault="00000000" w:rsidRPr="00000000" w14:paraId="00000056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Decodifica dei gesti arbitrali e comprensione dei regolamenti di gioco.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Osservazione e autocorrezione dei gesti motori propri e dei compagni.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Tecniche di espressione corporea per comunicare idee e stati d'animo.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300" w:lineRule="auto"/>
        <w:rPr>
          <w:rFonts w:ascii="Arial" w:cs="Arial" w:eastAsia="Arial" w:hAnsi="Arial"/>
          <w:b w:val="1"/>
          <w:bCs w:val="1"/>
          <w:color w:val="2b6cb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b6cb0"/>
          <w:sz w:val="22"/>
          <w:szCs w:val="22"/>
          <w:rtl w:val="0"/>
        </w:rPr>
        <w:t xml:space="preserve">2° QUADRIMESTRE</w:t>
      </w:r>
    </w:p>
    <w:p w:rsidR="00000000" w:rsidDel="00000000" w:rsidP="00000000" w:rsidRDefault="00000000" w:rsidRPr="00000000" w14:paraId="0000005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Il Gioco, lo Sport e la Pratica di Squadra:</w:t>
      </w:r>
    </w:p>
    <w:p w:rsidR="00000000" w:rsidDel="00000000" w:rsidP="00000000" w:rsidRDefault="00000000" w:rsidRPr="00000000" w14:paraId="0000005B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Pallavolo: dal minivolley al primo volley (palleggio, passaggio, bagher, battuta, schiacciata, muro, copertura e partite guidate).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Pallacanestro: dal minibasket al gioco (palleggio, passaggio, tiro, situazioni 1vs1, 2vs2, 3vs3 e partite).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Mini-Rugby: passaggio, avanzamento, sostegno, meta e gioco di squadra.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Calcio, Pallamano e Tennistavolo: avviamento ai fondamentali tecnici e regole.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Atletica Leggera: corsa veloce e di resistenza, salti, lanci (vortex) e staffette.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Tornei interni tra classi, arbitraggio guidato, gestione della vittoria e della sconfitta.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Salute, Benessere, Sicurezza e Digital Health:</w:t>
      </w:r>
    </w:p>
    <w:p w:rsidR="00000000" w:rsidDel="00000000" w:rsidP="00000000" w:rsidRDefault="00000000" w:rsidRPr="00000000" w14:paraId="00000062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Educazione alla salute: igiene, auxologia, postura, rilassamento e prevenzione dei paramorfismi.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Gestione dello sforzo e rilevazione della frequenza cardiaca.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Prevenzione degli infortuni, sicurezza in palestra e contrasto a doping, alcol e droghe.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Monitoraggio guidato tramite pedometri, cardiofrequenzimetri digitali ed app.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80" w:line="300" w:lineRule="auto"/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</w:rPr>
      </w:pPr>
      <w:r w:rsidDel="00000000" w:rsidR="00000000" w:rsidRPr="00000000">
        <w:rPr>
          <w:color w:val="1a365d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color w:val="1a365d"/>
          <w:sz w:val="24"/>
          <w:szCs w:val="24"/>
          <w:rtl w:val="0"/>
        </w:rPr>
        <w:t xml:space="preserve">. METODOLOGIA, STRUMENTI E TECNOLOGIE</w:t>
      </w:r>
    </w:p>
    <w:p w:rsidR="00000000" w:rsidDel="00000000" w:rsidP="00000000" w:rsidRDefault="00000000" w:rsidRPr="00000000" w14:paraId="000000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Metodologia Didattica:</w:t>
      </w:r>
    </w:p>
    <w:p w:rsidR="00000000" w:rsidDel="00000000" w:rsidP="00000000" w:rsidRDefault="00000000" w:rsidRPr="00000000" w14:paraId="00000068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Alternanza tra lezioni frontali e organizzazione per gruppi di lavoro guidati.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Approccio progressivo "dal globale all'analitico" e "dal semplice al complesso" (Piaget).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Strategie motivazionali all'apprendimento (Rogers), problem solving, questioning e rinforzo positivo motivazionale.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Lavoro nella "zona di sviluppo prossimale" (Vygotskij).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Piattaforme e Canali di Comunicazione:</w:t>
      </w:r>
    </w:p>
    <w:p w:rsidR="00000000" w:rsidDel="00000000" w:rsidP="00000000" w:rsidRDefault="00000000" w:rsidRPr="00000000" w14:paraId="0000006D">
      <w:pPr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Google Workspace (Google Classroom, Google Meet) per la condivisione di materiali, schede e attività integrate.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120" w:line="300" w:lineRule="auto"/>
        <w:rPr>
          <w:rFonts w:ascii="Arial" w:cs="Arial" w:eastAsia="Arial" w:hAnsi="Arial"/>
          <w:b w:val="1"/>
          <w:bCs w:val="1"/>
          <w:color w:val="222222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222222"/>
          <w:sz w:val="20"/>
          <w:szCs w:val="20"/>
          <w:rtl w:val="0"/>
        </w:rPr>
        <w:t xml:space="preserve">Materiali di Studio e Attrezzature Proposte: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Libro di testo: "IN TEAM sport e salute".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Piccoli e grandi attrezzi della palestra (palloni da volley, basket, rugby, tennis, attrezzi per percorsi e staffette).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300" w:lineRule="auto"/>
        <w:ind w:left="300" w:hanging="360"/>
        <w:rPr/>
      </w:pPr>
      <w:r w:rsidDel="00000000" w:rsidR="00000000" w:rsidRPr="00000000">
        <w:rPr>
          <w:rFonts w:ascii="Arial" w:cs="Arial" w:eastAsia="Arial" w:hAnsi="Arial"/>
          <w:color w:val="222222"/>
          <w:sz w:val="20"/>
          <w:szCs w:val="20"/>
          <w:rtl w:val="0"/>
        </w:rPr>
        <w:t xml:space="preserve">Strumenti di misurazione digitale (cardiofrequenzimetri, contapassi), schede integrative e risorse multimediali.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5">
    <w:lvl w:ilvl="0">
      <w:start w:val="1"/>
      <w:numFmt w:val="bullet"/>
      <w:lvlText w:val="●"/>
      <w:lvlJc w:val="left"/>
      <w:pPr>
        <w:ind w:left="21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9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0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gkg2Z2XiuBIBKw2pM/9WYRDgaQ==">CgMxLjAyDmgud2NveDRkeGVvOGpjOAByITE0ckh4MFdZYnR4ZkpTRTVYdTg5WWh4ODk2eEVQOG5EMA==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