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Intestazione"/>
        <w:spacing w:before="0" w:after="375"/>
        <w:rPr>
          <w:b w:val="0"/>
          <w:bCs w:val="0"/>
          <w:caps w:val="0"/>
          <w:smallCaps w:val="0"/>
          <w:strike w:val="0"/>
          <w:dstrike w:val="0"/>
          <w:outline w:val="0"/>
          <w:color w:val="000000"/>
          <w:sz w:val="22"/>
          <w:szCs w:val="22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orpo"/>
        <w:spacing w:before="240" w:after="75"/>
        <w:jc w:val="center"/>
      </w:pPr>
      <w:r>
        <w:rPr>
          <w:rtl w:val="0"/>
          <w:lang w:val="it-IT"/>
        </w:rPr>
        <w:t>Istituto Comprensivo Pio Fedi Grotte S. Stefano</w:t>
      </w:r>
    </w:p>
    <w:p>
      <w:pPr>
        <w:pStyle w:val="Corpo"/>
        <w:spacing w:after="30"/>
        <w:jc w:val="center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 xml:space="preserve">Programmazione d'Istituto </w:t>
      </w:r>
      <w:r>
        <w:rPr>
          <w:b w:val="1"/>
          <w:bCs w:val="1"/>
          <w:rtl w:val="0"/>
          <w:lang w:val="en-US"/>
        </w:rPr>
        <w:t xml:space="preserve">— </w:t>
      </w:r>
      <w:r>
        <w:rPr>
          <w:b w:val="1"/>
          <w:bCs w:val="1"/>
          <w:rtl w:val="0"/>
          <w:lang w:val="it-IT"/>
        </w:rPr>
        <w:t>Scuola Secondaria di Primo Grado</w:t>
      </w:r>
    </w:p>
    <w:p>
      <w:pPr>
        <w:pStyle w:val="Corpo"/>
        <w:spacing w:after="30"/>
        <w:jc w:val="center"/>
        <w:rPr>
          <w:b w:val="1"/>
          <w:bCs w:val="1"/>
        </w:rPr>
      </w:pPr>
      <w:r>
        <w:rPr>
          <w:b w:val="1"/>
          <w:bCs w:val="1"/>
          <w:rtl w:val="0"/>
          <w:lang w:val="de-DE"/>
        </w:rPr>
        <w:t xml:space="preserve">DIPARTIMENTO DI LETTERE </w:t>
      </w:r>
      <w:r>
        <w:rPr>
          <w:b w:val="1"/>
          <w:bCs w:val="1"/>
          <w:rtl w:val="0"/>
          <w:lang w:val="en-US"/>
        </w:rPr>
        <w:t xml:space="preserve">— </w:t>
      </w:r>
      <w:r>
        <w:rPr>
          <w:b w:val="1"/>
          <w:bCs w:val="1"/>
          <w:rtl w:val="0"/>
        </w:rPr>
        <w:t>CLASS</w:t>
      </w:r>
      <w:r>
        <w:rPr>
          <w:b w:val="1"/>
          <w:bCs w:val="1"/>
          <w:rtl w:val="0"/>
          <w:lang w:val="it-IT"/>
        </w:rPr>
        <w:t>I PRIME</w:t>
      </w:r>
    </w:p>
    <w:p>
      <w:pPr>
        <w:pStyle w:val="Corpo"/>
        <w:spacing w:after="30"/>
        <w:jc w:val="center"/>
        <w:rPr>
          <w:shd w:val="clear" w:color="auto" w:fill="fefcbf"/>
        </w:rPr>
      </w:pPr>
      <w:r>
        <w:rPr>
          <w:b w:val="1"/>
          <w:bCs w:val="1"/>
          <w:rtl w:val="0"/>
        </w:rPr>
        <w:t>MATERIA: STORIA</w:t>
      </w:r>
    </w:p>
    <w:p>
      <w:pPr>
        <w:pStyle w:val="Intestazione 2"/>
        <w:spacing w:before="0" w:after="285"/>
      </w:pPr>
      <w:r>
        <w:rPr>
          <w:rtl w:val="0"/>
          <w:lang w:val="it-IT"/>
        </w:rPr>
        <w:t>1. QUADRO DELLE COMPETENZE (Indicazioni Nazionali 2025)</w:t>
      </w:r>
    </w:p>
    <w:p>
      <w:pPr>
        <w:pStyle w:val="Intestazione 3"/>
        <w:spacing w:before="0"/>
      </w:pPr>
      <w:r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5" name="officeArt object" descr="Rettango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6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w:rPr>
          <w:rtl w:val="0"/>
          <w:lang w:val="it-IT"/>
        </w:rPr>
        <w:t>Competenze Chiave Europee</w:t>
      </w:r>
    </w:p>
    <w:p>
      <w:pPr>
        <w:pStyle w:val="Corpo"/>
        <w:numPr>
          <w:ilvl w:val="0"/>
          <w:numId w:val="2"/>
        </w:numPr>
        <w:jc w:val="both"/>
        <w:rPr>
          <w:lang w:val="it-IT"/>
        </w:rPr>
      </w:pPr>
      <w:r>
        <w:rPr>
          <w:b w:val="1"/>
          <w:bCs w:val="1"/>
          <w:rtl w:val="0"/>
          <w:lang w:val="it-IT"/>
        </w:rPr>
        <w:t>Competenza in materia di consapevolezza ed espressione culturali e coscienza storica:</w:t>
      </w:r>
      <w:r>
        <w:rPr>
          <w:rtl w:val="0"/>
          <w:lang w:val="it-IT"/>
        </w:rPr>
        <w:t xml:space="preserve"> Comprensione della storia d'Italia, d'Europa e dell'Occidente come matrice identitaria e culturale condivisa, e riconoscimento del patrimonio storico-monumentale.</w:t>
      </w:r>
    </w:p>
    <w:p>
      <w:pPr>
        <w:pStyle w:val="Corpo"/>
        <w:numPr>
          <w:ilvl w:val="0"/>
          <w:numId w:val="2"/>
        </w:numPr>
        <w:jc w:val="both"/>
        <w:rPr>
          <w:lang w:val="it-IT"/>
        </w:rPr>
      </w:pPr>
      <w:r>
        <w:rPr>
          <w:b w:val="1"/>
          <w:bCs w:val="1"/>
          <w:rtl w:val="0"/>
          <w:lang w:val="it-IT"/>
        </w:rPr>
        <w:t>Competenza personale, sociale e capacit</w:t>
      </w:r>
      <w:r>
        <w:rPr>
          <w:b w:val="1"/>
          <w:bCs w:val="1"/>
          <w:rtl w:val="0"/>
        </w:rPr>
        <w:t xml:space="preserve">à </w:t>
      </w:r>
      <w:r>
        <w:rPr>
          <w:b w:val="1"/>
          <w:bCs w:val="1"/>
          <w:rtl w:val="0"/>
          <w:lang w:val="it-IT"/>
        </w:rPr>
        <w:t>di imparare a imparare:</w:t>
      </w:r>
      <w:r>
        <w:rPr>
          <w:rtl w:val="0"/>
          <w:lang w:val="it-IT"/>
        </w:rPr>
        <w:t xml:space="preserve"> Capacit</w:t>
      </w:r>
      <w:r>
        <w:rPr>
          <w:rtl w:val="0"/>
        </w:rPr>
        <w:t xml:space="preserve">à </w:t>
      </w:r>
      <w:r>
        <w:rPr>
          <w:rtl w:val="0"/>
          <w:lang w:val="it-IT"/>
        </w:rPr>
        <w:t>di contestualizzare fatti, fenomeni e trasformazioni nel tempo e nello spazio, comprendendo cause, conseguenze e continuit</w:t>
      </w:r>
      <w:r>
        <w:rPr>
          <w:rtl w:val="0"/>
        </w:rPr>
        <w:t>à</w:t>
      </w:r>
      <w:r>
        <w:rPr>
          <w:rtl w:val="0"/>
          <w:lang w:val="it-IT"/>
        </w:rPr>
        <w:t>/discontinuit</w:t>
      </w:r>
      <w:r>
        <w:rPr>
          <w:rtl w:val="0"/>
        </w:rPr>
        <w:t>à</w:t>
      </w:r>
      <w:r>
        <w:rPr>
          <w:rtl w:val="0"/>
        </w:rPr>
        <w:t>.</w:t>
      </w:r>
    </w:p>
    <w:p>
      <w:pPr>
        <w:pStyle w:val="Corpo"/>
        <w:numPr>
          <w:ilvl w:val="0"/>
          <w:numId w:val="2"/>
        </w:numPr>
        <w:jc w:val="both"/>
        <w:rPr>
          <w:lang w:val="it-IT"/>
        </w:rPr>
      </w:pPr>
      <w:r>
        <w:rPr>
          <w:b w:val="1"/>
          <w:bCs w:val="1"/>
          <w:rtl w:val="0"/>
          <w:lang w:val="it-IT"/>
        </w:rPr>
        <w:t>Competenza in materia di cittadinanza ed Educazione Civica:</w:t>
      </w:r>
      <w:r>
        <w:rPr>
          <w:rtl w:val="0"/>
          <w:lang w:val="it-IT"/>
        </w:rPr>
        <w:t xml:space="preserve"> Sviluppo della coscienza morale, politica e civica, comprensione delle istituzioni (dai Comuni alle Monarchie, dagli Imperi alle costituzioni moderne) e riflessione sui valori di convivenza civile e pace.</w:t>
      </w:r>
    </w:p>
    <w:p>
      <w:pPr>
        <w:pStyle w:val="Corpo"/>
        <w:numPr>
          <w:ilvl w:val="0"/>
          <w:numId w:val="2"/>
        </w:numPr>
        <w:jc w:val="both"/>
        <w:rPr>
          <w:lang w:val="it-IT"/>
        </w:rPr>
      </w:pPr>
      <w:r>
        <w:rPr>
          <w:b w:val="1"/>
          <w:bCs w:val="1"/>
          <w:rtl w:val="0"/>
          <w:lang w:val="it-IT"/>
        </w:rPr>
        <w:t>Competenza digitale e analisi critica delle fonti:</w:t>
      </w:r>
      <w:r>
        <w:rPr>
          <w:rtl w:val="0"/>
          <w:lang w:val="it-IT"/>
        </w:rPr>
        <w:t xml:space="preserve"> Uso consapevole, critico e ancillare delle risorse multimediali, degli archivi digitali e dell'Intelligenza Artificiale per la ricerca storica e il contrasto alle "fake news" storiche.</w:t>
      </w:r>
    </w:p>
    <w:p>
      <w:pPr>
        <w:pStyle w:val="Intestazione 3"/>
      </w:pPr>
      <w:r>
        <w:rPr>
          <w:rFonts w:cs="Arial Unicode MS" w:eastAsia="Arial Unicode MS"/>
          <w:rtl w:val="0"/>
          <w:lang w:val="it-IT"/>
        </w:rPr>
        <w:t>Competenze Trasversali ed Educative</w:t>
      </w:r>
    </w:p>
    <w:p>
      <w:pPr>
        <w:pStyle w:val="Corpo"/>
        <w:numPr>
          <w:ilvl w:val="0"/>
          <w:numId w:val="4"/>
        </w:numPr>
        <w:rPr>
          <w:lang w:val="it-IT"/>
        </w:rPr>
      </w:pPr>
      <w:r>
        <w:rPr>
          <w:rtl w:val="0"/>
          <w:lang w:val="it-IT"/>
        </w:rPr>
        <w:t>Comprendere e narrare eventi e processi storici utilizzando il linguaggio specialistico della disciplina.</w:t>
      </w:r>
    </w:p>
    <w:p>
      <w:pPr>
        <w:pStyle w:val="Corpo"/>
        <w:numPr>
          <w:ilvl w:val="0"/>
          <w:numId w:val="4"/>
        </w:numPr>
        <w:rPr>
          <w:lang w:val="it-IT"/>
        </w:rPr>
      </w:pPr>
      <w:r>
        <w:rPr>
          <w:rtl w:val="0"/>
          <w:lang w:val="it-IT"/>
        </w:rPr>
        <w:t>Padroneggiare la dimensione temporale e spaziale (cronologia, periodizzazione, linee del tempo, carte storiche).</w:t>
      </w:r>
    </w:p>
    <w:p>
      <w:pPr>
        <w:pStyle w:val="Corpo"/>
        <w:numPr>
          <w:ilvl w:val="0"/>
          <w:numId w:val="4"/>
        </w:numPr>
        <w:rPr>
          <w:lang w:val="it-IT"/>
        </w:rPr>
      </w:pPr>
      <w:r>
        <w:rPr>
          <w:rtl w:val="0"/>
          <w:lang w:val="it-IT"/>
        </w:rPr>
        <w:t>Valutare le fonti (documentarie, iconografiche, materiali, digitali) con spirito critico, distinguendo fatti e interpretazioni.</w:t>
      </w:r>
    </w:p>
    <w:p>
      <w:pPr>
        <w:pStyle w:val="Corpo"/>
        <w:numPr>
          <w:ilvl w:val="0"/>
          <w:numId w:val="4"/>
        </w:numPr>
        <w:rPr>
          <w:lang w:val="it-IT"/>
        </w:rPr>
      </w:pPr>
      <w:r>
        <w:rPr>
          <w:rtl w:val="0"/>
          <w:lang w:val="it-IT"/>
        </w:rPr>
        <w:t>Riconoscere l'eredit</w:t>
      </w:r>
      <w:r>
        <w:rPr>
          <w:rtl w:val="0"/>
        </w:rPr>
        <w:t xml:space="preserve">à </w:t>
      </w:r>
      <w:r>
        <w:rPr>
          <w:rtl w:val="0"/>
          <w:lang w:val="it-IT"/>
        </w:rPr>
        <w:t>del mondo antico e medievale nelle istituzioni, nelle lingue (rapporto col latino) e nella cultura contemporanea.</w:t>
      </w:r>
    </w:p>
    <w:p>
      <w:pPr>
        <w:pStyle w:val="Corpo"/>
        <w:numPr>
          <w:ilvl w:val="0"/>
          <w:numId w:val="4"/>
        </w:numPr>
        <w:rPr>
          <w:lang w:val="it-IT"/>
        </w:rPr>
      </w:pPr>
      <w:r>
        <w:rPr>
          <w:rtl w:val="0"/>
          <w:lang w:val="it-IT"/>
        </w:rPr>
        <w:t>Esercitare un approccio guidato e responsabile verso gli strumenti di sintesi e ricerca basati su IA.</w:t>
      </w:r>
    </w:p>
    <w:p>
      <w:pPr>
        <w:pStyle w:val="Intestazione 2"/>
      </w:pPr>
      <w:r>
        <w:rPr>
          <w:rtl w:val="0"/>
        </w:rPr>
        <w:t>2. NUCLEI FONDANTI E COMPETENZE DISCIPLINARI</w:t>
      </w:r>
    </w:p>
    <w:p>
      <w:pPr>
        <w:pStyle w:val="Corpo"/>
        <w:spacing w:line="276" w:lineRule="auto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6" name="officeArt object" descr="Rettango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7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tbl>
      <w:tblPr>
        <w:tblW w:w="936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340"/>
        <w:gridCol w:w="3276"/>
        <w:gridCol w:w="3744"/>
      </w:tblGrid>
      <w:tr>
        <w:tblPrEx>
          <w:shd w:val="clear" w:color="auto" w:fill="4f81bd"/>
        </w:tblPrEx>
        <w:trPr>
          <w:trHeight w:val="641" w:hRule="atLeast"/>
          <w:tblHeader/>
        </w:trPr>
        <w:tc>
          <w:tcPr>
            <w:tcW w:type="dxa" w:w="2340"/>
            <w:tcBorders>
              <w:top w:val="single" w:color="cbd5e0" w:sz="6" w:space="0" w:shadow="0" w:frame="0"/>
              <w:left w:val="single" w:color="cbd5e0" w:sz="6" w:space="0" w:shadow="0" w:frame="0"/>
              <w:bottom w:val="single" w:color="cbd5e0" w:sz="6" w:space="0" w:shadow="0" w:frame="0"/>
              <w:right w:val="single" w:color="cbd5e0" w:sz="6" w:space="0" w:shadow="0" w:frame="0"/>
            </w:tcBorders>
            <w:shd w:val="clear" w:color="auto" w:fill="e2e8f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before="120" w:after="120"/>
            </w:pPr>
            <w:r>
              <w:rPr>
                <w:b w:val="1"/>
                <w:bCs w:val="1"/>
                <w:outline w:val="0"/>
                <w:color w:val="1a365d"/>
                <w:sz w:val="20"/>
                <w:szCs w:val="20"/>
                <w:u w:color="1a365d"/>
                <w:shd w:val="nil" w:color="auto" w:fill="auto"/>
                <w:rtl w:val="0"/>
                <w:lang w:val="it-IT"/>
                <w14:textFill>
                  <w14:solidFill>
                    <w14:srgbClr w14:val="1A365D"/>
                  </w14:solidFill>
                </w14:textFill>
              </w:rPr>
              <w:t>Nucleo Fondante</w:t>
            </w:r>
          </w:p>
        </w:tc>
        <w:tc>
          <w:tcPr>
            <w:tcW w:type="dxa" w:w="3276"/>
            <w:tcBorders>
              <w:top w:val="single" w:color="cbd5e0" w:sz="6" w:space="0" w:shadow="0" w:frame="0"/>
              <w:left w:val="single" w:color="cbd5e0" w:sz="6" w:space="0" w:shadow="0" w:frame="0"/>
              <w:bottom w:val="single" w:color="cbd5e0" w:sz="6" w:space="0" w:shadow="0" w:frame="0"/>
              <w:right w:val="single" w:color="cbd5e0" w:sz="6" w:space="0" w:shadow="0" w:frame="0"/>
            </w:tcBorders>
            <w:shd w:val="clear" w:color="auto" w:fill="e2e8f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before="120" w:after="120"/>
            </w:pPr>
            <w:r>
              <w:rPr>
                <w:b w:val="1"/>
                <w:bCs w:val="1"/>
                <w:outline w:val="0"/>
                <w:color w:val="1a365d"/>
                <w:sz w:val="20"/>
                <w:szCs w:val="20"/>
                <w:u w:color="1a365d"/>
                <w:shd w:val="nil" w:color="auto" w:fill="auto"/>
                <w:rtl w:val="0"/>
                <w:lang w:val="it-IT"/>
                <w14:textFill>
                  <w14:solidFill>
                    <w14:srgbClr w14:val="1A365D"/>
                  </w14:solidFill>
                </w14:textFill>
              </w:rPr>
              <w:t>Competenza Attesa (NIN 2025)</w:t>
            </w:r>
          </w:p>
        </w:tc>
        <w:tc>
          <w:tcPr>
            <w:tcW w:type="dxa" w:w="3744"/>
            <w:tcBorders>
              <w:top w:val="single" w:color="cbd5e0" w:sz="6" w:space="0" w:shadow="0" w:frame="0"/>
              <w:left w:val="single" w:color="cbd5e0" w:sz="6" w:space="0" w:shadow="0" w:frame="0"/>
              <w:bottom w:val="single" w:color="cbd5e0" w:sz="6" w:space="0" w:shadow="0" w:frame="0"/>
              <w:right w:val="single" w:color="cbd5e0" w:sz="6" w:space="0" w:shadow="0" w:frame="0"/>
            </w:tcBorders>
            <w:shd w:val="clear" w:color="auto" w:fill="e2e8f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before="120" w:after="120"/>
              <w:rPr>
                <w:b w:val="1"/>
                <w:bCs w:val="1"/>
                <w:outline w:val="0"/>
                <w:color w:val="1a365d"/>
                <w:sz w:val="20"/>
                <w:szCs w:val="20"/>
                <w:u w:color="1a365d"/>
                <w:shd w:val="nil" w:color="auto" w:fill="auto"/>
                <w14:textFill>
                  <w14:solidFill>
                    <w14:srgbClr w14:val="1A365D"/>
                  </w14:solidFill>
                </w14:textFill>
              </w:rPr>
            </w:pPr>
            <w:r>
              <w:rPr>
                <w:b w:val="1"/>
                <w:bCs w:val="1"/>
                <w:outline w:val="0"/>
                <w:color w:val="1a365d"/>
                <w:sz w:val="20"/>
                <w:szCs w:val="20"/>
                <w:u w:color="1a365d"/>
                <w:shd w:val="nil" w:color="auto" w:fill="auto"/>
                <w:rtl w:val="0"/>
                <w:lang w:val="it-IT"/>
                <w14:textFill>
                  <w14:solidFill>
                    <w14:srgbClr w14:val="1A365D"/>
                  </w14:solidFill>
                </w14:textFill>
              </w:rPr>
              <w:t>Abilit</w:t>
            </w:r>
            <w:r>
              <w:rPr>
                <w:b w:val="1"/>
                <w:bCs w:val="1"/>
                <w:outline w:val="0"/>
                <w:color w:val="1a365d"/>
                <w:sz w:val="20"/>
                <w:szCs w:val="20"/>
                <w:u w:color="1a365d"/>
                <w:shd w:val="nil" w:color="auto" w:fill="auto"/>
                <w:rtl w:val="0"/>
                <w14:textFill>
                  <w14:solidFill>
                    <w14:srgbClr w14:val="1A365D"/>
                  </w14:solidFill>
                </w14:textFill>
              </w:rPr>
              <w:t xml:space="preserve">à </w:t>
            </w:r>
            <w:r>
              <w:rPr>
                <w:b w:val="1"/>
                <w:bCs w:val="1"/>
                <w:outline w:val="0"/>
                <w:color w:val="1a365d"/>
                <w:sz w:val="20"/>
                <w:szCs w:val="20"/>
                <w:u w:color="1a365d"/>
                <w:shd w:val="nil" w:color="auto" w:fill="auto"/>
                <w:rtl w:val="0"/>
                <w:lang w:val="it-IT"/>
                <w14:textFill>
                  <w14:solidFill>
                    <w14:srgbClr w14:val="1A365D"/>
                  </w14:solidFill>
                </w14:textFill>
              </w:rPr>
              <w:t>Specifiche</w:t>
            </w:r>
          </w:p>
          <w:p>
            <w:pPr>
              <w:pStyle w:val="Corpo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32" w:hRule="atLeast"/>
        </w:trPr>
        <w:tc>
          <w:tcPr>
            <w:tcW w:type="dxa" w:w="2340"/>
            <w:tcBorders>
              <w:top w:val="single" w:color="cbd5e0" w:sz="6" w:space="0" w:shadow="0" w:frame="0"/>
              <w:left w:val="single" w:color="cbd5e0" w:sz="6" w:space="0" w:shadow="0" w:frame="0"/>
              <w:bottom w:val="single" w:color="cbd5e0" w:sz="6" w:space="0" w:shadow="0" w:frame="0"/>
              <w:right w:val="single" w:color="cbd5e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before="120" w:after="120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Narrazione Storica e Uso delle Fonti</w:t>
            </w:r>
          </w:p>
        </w:tc>
        <w:tc>
          <w:tcPr>
            <w:tcW w:type="dxa" w:w="3276"/>
            <w:tcBorders>
              <w:top w:val="single" w:color="cbd5e0" w:sz="6" w:space="0" w:shadow="0" w:frame="0"/>
              <w:left w:val="single" w:color="cbd5e0" w:sz="6" w:space="0" w:shadow="0" w:frame="0"/>
              <w:bottom w:val="single" w:color="cbd5e0" w:sz="6" w:space="0" w:shadow="0" w:frame="0"/>
              <w:right w:val="single" w:color="cbd5e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before="120" w:after="120"/>
            </w:pP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Comprendere eventi e processi storici attraverso la narrazione e l'analisi critica di fonti letterarie, documentarie, iconografiche, materiali e digitali.</w:t>
            </w:r>
          </w:p>
        </w:tc>
        <w:tc>
          <w:tcPr>
            <w:tcW w:type="dxa" w:w="3744"/>
            <w:tcBorders>
              <w:top w:val="single" w:color="cbd5e0" w:sz="6" w:space="0" w:shadow="0" w:frame="0"/>
              <w:left w:val="single" w:color="cbd5e0" w:sz="6" w:space="0" w:shadow="0" w:frame="0"/>
              <w:bottom w:val="single" w:color="cbd5e0" w:sz="6" w:space="0" w:shadow="0" w:frame="0"/>
              <w:right w:val="single" w:color="cbd5e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numPr>
                <w:ilvl w:val="0"/>
                <w:numId w:val="5"/>
              </w:numPr>
              <w:rPr>
                <w:lang w:val="it-IT"/>
              </w:rPr>
            </w:pPr>
            <w:r>
              <w:rPr>
                <w:shd w:val="nil" w:color="auto" w:fill="auto"/>
                <w:rtl w:val="0"/>
                <w:lang w:val="it-IT"/>
              </w:rPr>
              <w:t>Distinguere tra vari tipi di fonti</w:t>
            </w:r>
          </w:p>
          <w:p>
            <w:pPr>
              <w:pStyle w:val="Corpo"/>
              <w:numPr>
                <w:ilvl w:val="0"/>
                <w:numId w:val="5"/>
              </w:numPr>
              <w:bidi w:val="0"/>
              <w:ind w:right="0"/>
              <w:jc w:val="left"/>
              <w:rPr>
                <w:rtl w:val="0"/>
                <w:lang w:val="it-IT"/>
              </w:rPr>
            </w:pPr>
            <w:r>
              <w:rPr>
                <w:shd w:val="nil" w:color="auto" w:fill="auto"/>
                <w:rtl w:val="0"/>
                <w:lang w:val="it-IT"/>
              </w:rPr>
              <w:t>Interpretare e ricavare informazioni da fonti storiche di diversa natura (archivi, siti archeologici, testi, mappe).</w:t>
            </w:r>
          </w:p>
          <w:p>
            <w:pPr>
              <w:pStyle w:val="Corpo"/>
              <w:numPr>
                <w:ilvl w:val="0"/>
                <w:numId w:val="5"/>
              </w:numPr>
              <w:bidi w:val="0"/>
              <w:ind w:right="0"/>
              <w:jc w:val="left"/>
              <w:rPr>
                <w:rtl w:val="0"/>
                <w:lang w:val="it-IT"/>
              </w:rPr>
            </w:pPr>
            <w:r>
              <w:rPr>
                <w:shd w:val="nil" w:color="auto" w:fill="auto"/>
                <w:rtl w:val="0"/>
                <w:lang w:val="it-IT"/>
              </w:rPr>
              <w:t>Riconoscere il valore della narrazione storica per ricostruire quadri sociali, civili e culturali.</w:t>
            </w:r>
          </w:p>
        </w:tc>
      </w:tr>
      <w:tr>
        <w:tblPrEx>
          <w:shd w:val="clear" w:color="auto" w:fill="ced7e7"/>
        </w:tblPrEx>
        <w:trPr>
          <w:trHeight w:val="3230" w:hRule="atLeast"/>
        </w:trPr>
        <w:tc>
          <w:tcPr>
            <w:tcW w:type="dxa" w:w="2340"/>
            <w:tcBorders>
              <w:top w:val="single" w:color="cbd5e0" w:sz="6" w:space="0" w:shadow="0" w:frame="0"/>
              <w:left w:val="single" w:color="cbd5e0" w:sz="6" w:space="0" w:shadow="0" w:frame="0"/>
              <w:bottom w:val="single" w:color="cbd5e0" w:sz="6" w:space="0" w:shadow="0" w:frame="0"/>
              <w:right w:val="single" w:color="cbd5e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before="120" w:after="120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Organizzazione delle Informazioni e Spazio-Tempo</w:t>
            </w:r>
          </w:p>
        </w:tc>
        <w:tc>
          <w:tcPr>
            <w:tcW w:type="dxa" w:w="3276"/>
            <w:tcBorders>
              <w:top w:val="single" w:color="cbd5e0" w:sz="6" w:space="0" w:shadow="0" w:frame="0"/>
              <w:left w:val="single" w:color="cbd5e0" w:sz="6" w:space="0" w:shadow="0" w:frame="0"/>
              <w:bottom w:val="single" w:color="cbd5e0" w:sz="6" w:space="0" w:shadow="0" w:frame="0"/>
              <w:right w:val="single" w:color="cbd5e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before="120" w:after="120"/>
            </w:pP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Collocare fatti e processi storici nelle giuste coordinate spazio-temporali, costruendo cronologie, linee del tempo e mappe storiche.</w:t>
            </w:r>
          </w:p>
        </w:tc>
        <w:tc>
          <w:tcPr>
            <w:tcW w:type="dxa" w:w="3744"/>
            <w:tcBorders>
              <w:top w:val="single" w:color="cbd5e0" w:sz="6" w:space="0" w:shadow="0" w:frame="0"/>
              <w:left w:val="single" w:color="cbd5e0" w:sz="6" w:space="0" w:shadow="0" w:frame="0"/>
              <w:bottom w:val="single" w:color="cbd5e0" w:sz="6" w:space="0" w:shadow="0" w:frame="0"/>
              <w:right w:val="single" w:color="cbd5e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numPr>
                <w:ilvl w:val="0"/>
                <w:numId w:val="6"/>
              </w:numPr>
              <w:rPr>
                <w:lang w:val="it-IT"/>
              </w:rPr>
            </w:pPr>
            <w:r>
              <w:rPr>
                <w:shd w:val="nil" w:color="auto" w:fill="auto"/>
                <w:rtl w:val="0"/>
                <w:lang w:val="it-IT"/>
              </w:rPr>
              <w:t>Leggere e costruire grafici, mappe storiche e linee del tempo parallele.</w:t>
            </w:r>
          </w:p>
          <w:p>
            <w:pPr>
              <w:pStyle w:val="Corpo"/>
              <w:numPr>
                <w:ilvl w:val="0"/>
                <w:numId w:val="6"/>
              </w:numPr>
              <w:bidi w:val="0"/>
              <w:ind w:right="0"/>
              <w:jc w:val="left"/>
              <w:rPr>
                <w:rtl w:val="0"/>
                <w:lang w:val="it-IT"/>
              </w:rPr>
            </w:pPr>
            <w:r>
              <w:rPr>
                <w:shd w:val="nil" w:color="auto" w:fill="auto"/>
                <w:rtl w:val="0"/>
                <w:lang w:val="it-IT"/>
              </w:rPr>
              <w:t>Individuare relazioni di causa-effetto, continuit</w:t>
            </w:r>
            <w:r>
              <w:rPr>
                <w:shd w:val="nil" w:color="auto" w:fill="auto"/>
                <w:rtl w:val="0"/>
              </w:rPr>
              <w:t>à</w:t>
            </w:r>
            <w:r>
              <w:rPr>
                <w:shd w:val="nil" w:color="auto" w:fill="auto"/>
                <w:rtl w:val="0"/>
                <w:lang w:val="it-IT"/>
              </w:rPr>
              <w:t>, discontinuit</w:t>
            </w:r>
            <w:r>
              <w:rPr>
                <w:shd w:val="nil" w:color="auto" w:fill="auto"/>
                <w:rtl w:val="0"/>
              </w:rPr>
              <w:t xml:space="preserve">à </w:t>
            </w:r>
            <w:r>
              <w:rPr>
                <w:shd w:val="nil" w:color="auto" w:fill="auto"/>
                <w:rtl w:val="0"/>
                <w:lang w:val="it-IT"/>
              </w:rPr>
              <w:t>e trasformazioni sociali ed economiche.</w:t>
            </w:r>
          </w:p>
          <w:p>
            <w:pPr>
              <w:pStyle w:val="Corpo"/>
              <w:numPr>
                <w:ilvl w:val="0"/>
                <w:numId w:val="6"/>
              </w:numPr>
              <w:bidi w:val="0"/>
              <w:ind w:right="0"/>
              <w:jc w:val="left"/>
              <w:rPr>
                <w:rtl w:val="0"/>
                <w:lang w:val="it-IT"/>
              </w:rPr>
            </w:pPr>
            <w:r>
              <w:rPr>
                <w:shd w:val="nil" w:color="auto" w:fill="auto"/>
                <w:rtl w:val="0"/>
                <w:lang w:val="it-IT"/>
              </w:rPr>
              <w:t>Relazionare la storia locale (vestigia del territorio) con la storia nazionale, europea e mondiale.</w:t>
            </w:r>
          </w:p>
        </w:tc>
      </w:tr>
      <w:tr>
        <w:tblPrEx>
          <w:shd w:val="clear" w:color="auto" w:fill="ced7e7"/>
        </w:tblPrEx>
        <w:trPr>
          <w:trHeight w:val="3826" w:hRule="atLeast"/>
        </w:trPr>
        <w:tc>
          <w:tcPr>
            <w:tcW w:type="dxa" w:w="2340"/>
            <w:tcBorders>
              <w:top w:val="single" w:color="cbd5e0" w:sz="6" w:space="0" w:shadow="0" w:frame="0"/>
              <w:left w:val="single" w:color="cbd5e0" w:sz="6" w:space="0" w:shadow="0" w:frame="0"/>
              <w:bottom w:val="single" w:color="cbd5e0" w:sz="6" w:space="0" w:shadow="0" w:frame="0"/>
              <w:right w:val="single" w:color="cbd5e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before="120" w:after="120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Strumenti Concettuali e Quadro Identitario</w:t>
            </w:r>
          </w:p>
        </w:tc>
        <w:tc>
          <w:tcPr>
            <w:tcW w:type="dxa" w:w="3276"/>
            <w:tcBorders>
              <w:top w:val="single" w:color="cbd5e0" w:sz="6" w:space="0" w:shadow="0" w:frame="0"/>
              <w:left w:val="single" w:color="cbd5e0" w:sz="6" w:space="0" w:shadow="0" w:frame="0"/>
              <w:bottom w:val="single" w:color="cbd5e0" w:sz="6" w:space="0" w:shadow="0" w:frame="0"/>
              <w:right w:val="single" w:color="cbd5e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before="120" w:after="120"/>
            </w:pP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Padroneggiare i concetti fondamentali (feudalesimo, impero, papato, comune, signoria, monarchia nazionale, riforma) e comprendere l'evoluzione delle istituzioni e della cultura occidentale.</w:t>
            </w:r>
          </w:p>
        </w:tc>
        <w:tc>
          <w:tcPr>
            <w:tcW w:type="dxa" w:w="3744"/>
            <w:tcBorders>
              <w:top w:val="single" w:color="cbd5e0" w:sz="6" w:space="0" w:shadow="0" w:frame="0"/>
              <w:left w:val="single" w:color="cbd5e0" w:sz="6" w:space="0" w:shadow="0" w:frame="0"/>
              <w:bottom w:val="single" w:color="cbd5e0" w:sz="6" w:space="0" w:shadow="0" w:frame="0"/>
              <w:right w:val="single" w:color="cbd5e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numPr>
                <w:ilvl w:val="0"/>
                <w:numId w:val="7"/>
              </w:numPr>
              <w:rPr>
                <w:lang w:val="it-IT"/>
              </w:rPr>
            </w:pPr>
            <w:r>
              <w:rPr>
                <w:shd w:val="nil" w:color="auto" w:fill="auto"/>
                <w:rtl w:val="0"/>
                <w:lang w:val="it-IT"/>
              </w:rPr>
              <w:t>Comprendere le strutture politiche, religiose e socio-economiche dal Medioevo alla prima Et</w:t>
            </w:r>
            <w:r>
              <w:rPr>
                <w:shd w:val="nil" w:color="auto" w:fill="auto"/>
                <w:rtl w:val="0"/>
              </w:rPr>
              <w:t xml:space="preserve">à </w:t>
            </w:r>
            <w:r>
              <w:rPr>
                <w:shd w:val="nil" w:color="auto" w:fill="auto"/>
                <w:rtl w:val="0"/>
                <w:lang w:val="it-IT"/>
              </w:rPr>
              <w:t>Moderna.</w:t>
            </w:r>
          </w:p>
          <w:p>
            <w:pPr>
              <w:pStyle w:val="Corpo"/>
              <w:numPr>
                <w:ilvl w:val="0"/>
                <w:numId w:val="7"/>
              </w:numPr>
              <w:bidi w:val="0"/>
              <w:ind w:right="0"/>
              <w:jc w:val="left"/>
              <w:rPr>
                <w:rtl w:val="0"/>
                <w:lang w:val="it-IT"/>
              </w:rPr>
            </w:pPr>
            <w:r>
              <w:rPr>
                <w:shd w:val="nil" w:color="auto" w:fill="auto"/>
                <w:rtl w:val="0"/>
                <w:lang w:val="it-IT"/>
              </w:rPr>
              <w:t>Riconoscere l'eredit</w:t>
            </w:r>
            <w:r>
              <w:rPr>
                <w:shd w:val="nil" w:color="auto" w:fill="auto"/>
                <w:rtl w:val="0"/>
              </w:rPr>
              <w:t xml:space="preserve">à </w:t>
            </w:r>
            <w:r>
              <w:rPr>
                <w:shd w:val="nil" w:color="auto" w:fill="auto"/>
                <w:rtl w:val="0"/>
                <w:lang w:val="it-IT"/>
              </w:rPr>
              <w:t>delle civilt</w:t>
            </w:r>
            <w:r>
              <w:rPr>
                <w:shd w:val="nil" w:color="auto" w:fill="auto"/>
                <w:rtl w:val="0"/>
              </w:rPr>
              <w:t xml:space="preserve">à </w:t>
            </w:r>
            <w:r>
              <w:rPr>
                <w:shd w:val="nil" w:color="auto" w:fill="auto"/>
                <w:rtl w:val="0"/>
                <w:lang w:val="it-IT"/>
              </w:rPr>
              <w:t>classiche, del cristianesimo e gli apporti delle civilt</w:t>
            </w:r>
            <w:r>
              <w:rPr>
                <w:shd w:val="nil" w:color="auto" w:fill="auto"/>
                <w:rtl w:val="0"/>
              </w:rPr>
              <w:t xml:space="preserve">à </w:t>
            </w:r>
            <w:r>
              <w:rPr>
                <w:shd w:val="nil" w:color="auto" w:fill="auto"/>
                <w:rtl w:val="0"/>
                <w:lang w:val="it-IT"/>
              </w:rPr>
              <w:t>mediterranee e orientali nella formazione dell'Europa moderna.</w:t>
            </w:r>
          </w:p>
          <w:p>
            <w:pPr>
              <w:pStyle w:val="Corpo"/>
              <w:numPr>
                <w:ilvl w:val="0"/>
                <w:numId w:val="7"/>
              </w:numPr>
              <w:bidi w:val="0"/>
              <w:ind w:right="0"/>
              <w:jc w:val="left"/>
              <w:rPr>
                <w:rtl w:val="0"/>
                <w:lang w:val="it-IT"/>
              </w:rPr>
            </w:pPr>
            <w:r>
              <w:rPr>
                <w:shd w:val="nil" w:color="auto" w:fill="auto"/>
                <w:rtl w:val="0"/>
                <w:lang w:val="it-IT"/>
              </w:rPr>
              <w:t>Riflettere su problemi di convivenza civile, diritti, tolleranza e libert</w:t>
            </w:r>
            <w:r>
              <w:rPr>
                <w:shd w:val="nil" w:color="auto" w:fill="auto"/>
                <w:rtl w:val="0"/>
              </w:rPr>
              <w:t xml:space="preserve">à </w:t>
            </w:r>
            <w:r>
              <w:rPr>
                <w:shd w:val="nil" w:color="auto" w:fill="auto"/>
                <w:rtl w:val="0"/>
                <w:lang w:val="it-IT"/>
              </w:rPr>
              <w:t>religiosa.</w:t>
            </w:r>
          </w:p>
        </w:tc>
      </w:tr>
      <w:tr>
        <w:tblPrEx>
          <w:shd w:val="clear" w:color="auto" w:fill="ced7e7"/>
        </w:tblPrEx>
        <w:trPr>
          <w:trHeight w:val="1441" w:hRule="atLeast"/>
        </w:trPr>
        <w:tc>
          <w:tcPr>
            <w:tcW w:type="dxa" w:w="2340"/>
            <w:tcBorders>
              <w:top w:val="single" w:color="cbd5e0" w:sz="6" w:space="0" w:shadow="0" w:frame="0"/>
              <w:left w:val="single" w:color="cbd5e0" w:sz="6" w:space="0" w:shadow="0" w:frame="0"/>
              <w:bottom w:val="single" w:color="cbd5e0" w:sz="6" w:space="0" w:shadow="0" w:frame="0"/>
              <w:right w:val="single" w:color="cbd5e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before="120" w:after="120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Produzione Orale/Scritta e Linguaggio Specifico</w:t>
            </w:r>
          </w:p>
        </w:tc>
        <w:tc>
          <w:tcPr>
            <w:tcW w:type="dxa" w:w="3276"/>
            <w:tcBorders>
              <w:top w:val="single" w:color="cbd5e0" w:sz="6" w:space="0" w:shadow="0" w:frame="0"/>
              <w:left w:val="single" w:color="cbd5e0" w:sz="6" w:space="0" w:shadow="0" w:frame="0"/>
              <w:bottom w:val="single" w:color="cbd5e0" w:sz="6" w:space="0" w:shadow="0" w:frame="0"/>
              <w:right w:val="single" w:color="cbd5e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before="120" w:after="120"/>
            </w:pP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Esporre e argomentare conoscenze storiche con chiarezza, ordine logico e rigore terminologico.</w:t>
            </w:r>
          </w:p>
        </w:tc>
        <w:tc>
          <w:tcPr>
            <w:tcW w:type="dxa" w:w="3744"/>
            <w:tcBorders>
              <w:top w:val="single" w:color="cbd5e0" w:sz="6" w:space="0" w:shadow="0" w:frame="0"/>
              <w:left w:val="single" w:color="cbd5e0" w:sz="6" w:space="0" w:shadow="0" w:frame="0"/>
              <w:bottom w:val="single" w:color="cbd5e0" w:sz="6" w:space="0" w:shadow="0" w:frame="0"/>
              <w:right w:val="single" w:color="cbd5e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numPr>
                <w:ilvl w:val="0"/>
                <w:numId w:val="8"/>
              </w:numPr>
              <w:rPr>
                <w:lang w:val="it-IT"/>
              </w:rPr>
            </w:pPr>
            <w:r>
              <w:rPr>
                <w:shd w:val="nil" w:color="auto" w:fill="auto"/>
                <w:rtl w:val="0"/>
                <w:lang w:val="it-IT"/>
              </w:rPr>
              <w:t>Utilizzare correttamente il lessico storico specifico.</w:t>
            </w:r>
          </w:p>
          <w:p>
            <w:pPr>
              <w:pStyle w:val="Corpo"/>
              <w:numPr>
                <w:ilvl w:val="0"/>
                <w:numId w:val="8"/>
              </w:numPr>
              <w:bidi w:val="0"/>
              <w:ind w:right="0"/>
              <w:jc w:val="left"/>
              <w:rPr>
                <w:rtl w:val="0"/>
                <w:lang w:val="it-IT"/>
              </w:rPr>
            </w:pPr>
            <w:r>
              <w:rPr>
                <w:shd w:val="nil" w:color="auto" w:fill="auto"/>
                <w:rtl w:val="0"/>
                <w:lang w:val="it-IT"/>
              </w:rPr>
              <w:t>Produrre sintesi, mappe concettuali e brevi testi espositivi/argomentativi.</w:t>
            </w:r>
          </w:p>
        </w:tc>
      </w:tr>
    </w:tbl>
    <w:p>
      <w:pPr>
        <w:pStyle w:val="Corpo"/>
        <w:spacing w:line="240" w:lineRule="auto"/>
      </w:pPr>
    </w:p>
    <w:p>
      <w:pPr>
        <w:pStyle w:val="Intestazione 2"/>
        <w:spacing w:after="285"/>
      </w:pPr>
      <w:r>
        <w:rPr>
          <w:rtl w:val="0"/>
          <w:lang w:val="de-DE"/>
        </w:rPr>
        <w:t xml:space="preserve">3. PROGRAMMAZIONE DIDATTICA PER QUADRIMESTRI </w:t>
      </w:r>
    </w:p>
    <w:p>
      <w:pPr>
        <w:pStyle w:val="Intestazione 3"/>
        <w:spacing w:before="0"/>
      </w:pPr>
      <w:r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7" name="officeArt object" descr="Rettango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8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w:rPr>
          <w:rtl w:val="0"/>
        </w:rPr>
        <w:t>1</w:t>
      </w:r>
      <w:r>
        <w:rPr>
          <w:rtl w:val="0"/>
          <w:lang w:val="it-IT"/>
        </w:rPr>
        <w:t xml:space="preserve">° </w:t>
      </w:r>
      <w:r>
        <w:rPr>
          <w:rtl w:val="0"/>
          <w:lang w:val="it-IT"/>
        </w:rPr>
        <w:t>Quadrimestre (Dall'Alto Medioevo al Basso Medioevo - XI secolo)</w:t>
      </w:r>
    </w:p>
    <w:p>
      <w:pPr>
        <w:pStyle w:val="Corpo"/>
        <w:numPr>
          <w:ilvl w:val="0"/>
          <w:numId w:val="10"/>
        </w:numPr>
        <w:rPr>
          <w:lang w:val="it-IT"/>
        </w:rPr>
      </w:pPr>
      <w:r>
        <w:rPr>
          <w:b w:val="1"/>
          <w:bCs w:val="1"/>
          <w:rtl w:val="0"/>
          <w:lang w:val="it-IT"/>
        </w:rPr>
        <w:t>Modulo 1 Raccordo tra la fine del Mondo Antico e l'Impero Arabo</w:t>
      </w:r>
    </w:p>
    <w:p>
      <w:pPr>
        <w:pStyle w:val="Corpo"/>
      </w:pPr>
    </w:p>
    <w:p>
      <w:pPr>
        <w:pStyle w:val="Corpo"/>
        <w:numPr>
          <w:ilvl w:val="0"/>
          <w:numId w:val="10"/>
        </w:numPr>
      </w:pPr>
      <w:r>
        <w:rPr>
          <w:b w:val="1"/>
          <w:bCs w:val="1"/>
          <w:rtl w:val="0"/>
        </w:rPr>
        <w:t xml:space="preserve">Modulo 2 </w:t>
      </w:r>
      <w:r>
        <w:rPr>
          <w:b w:val="1"/>
          <w:bCs w:val="1"/>
          <w:rtl w:val="0"/>
          <w:lang w:val="en-US"/>
        </w:rPr>
        <w:t xml:space="preserve">— </w:t>
      </w:r>
      <w:r>
        <w:rPr>
          <w:b w:val="1"/>
          <w:bCs w:val="1"/>
          <w:rtl w:val="0"/>
          <w:lang w:val="it-IT"/>
        </w:rPr>
        <w:t>Il Sacro Romano Impero e l'Et</w:t>
      </w:r>
      <w:r>
        <w:rPr>
          <w:b w:val="1"/>
          <w:bCs w:val="1"/>
          <w:rtl w:val="0"/>
        </w:rPr>
        <w:t xml:space="preserve">à </w:t>
      </w:r>
      <w:r>
        <w:rPr>
          <w:b w:val="1"/>
          <w:bCs w:val="1"/>
          <w:rtl w:val="0"/>
          <w:lang w:val="it-IT"/>
        </w:rPr>
        <w:t>Feudale:</w:t>
      </w:r>
    </w:p>
    <w:p>
      <w:pPr>
        <w:pStyle w:val="Corpo"/>
        <w:numPr>
          <w:ilvl w:val="1"/>
          <w:numId w:val="12"/>
        </w:numPr>
        <w:rPr>
          <w:lang w:val="it-IT"/>
        </w:rPr>
      </w:pPr>
      <w:r>
        <w:rPr>
          <w:rtl w:val="0"/>
          <w:lang w:val="it-IT"/>
        </w:rPr>
        <w:t>I Longobardi in Italia e la Chiesa di Roma</w:t>
      </w:r>
    </w:p>
    <w:p>
      <w:pPr>
        <w:pStyle w:val="Corpo"/>
        <w:numPr>
          <w:ilvl w:val="1"/>
          <w:numId w:val="12"/>
        </w:numPr>
        <w:rPr>
          <w:lang w:val="it-IT"/>
        </w:rPr>
      </w:pPr>
      <w:r>
        <w:rPr>
          <w:rtl w:val="0"/>
          <w:lang w:val="it-IT"/>
        </w:rPr>
        <w:t>I Franchi e Carlo Magno: la nascita del Sacro Romano Impero e la rinascita carolingia.</w:t>
      </w:r>
    </w:p>
    <w:p>
      <w:pPr>
        <w:pStyle w:val="Corpo"/>
        <w:numPr>
          <w:ilvl w:val="1"/>
          <w:numId w:val="12"/>
        </w:numPr>
        <w:rPr>
          <w:lang w:val="it-IT"/>
        </w:rPr>
      </w:pPr>
      <w:r>
        <w:rPr>
          <w:rtl w:val="0"/>
          <w:lang w:val="it-IT"/>
        </w:rPr>
        <w:t>Il Feudalesimo: curtis, vassallaggio, incastellamento e frammentazione del potere.</w:t>
      </w:r>
    </w:p>
    <w:p>
      <w:pPr>
        <w:pStyle w:val="Corpo"/>
        <w:numPr>
          <w:ilvl w:val="1"/>
          <w:numId w:val="12"/>
        </w:numPr>
        <w:rPr>
          <w:lang w:val="it-IT"/>
        </w:rPr>
      </w:pPr>
      <w:r>
        <w:rPr>
          <w:rtl w:val="0"/>
          <w:lang w:val="it-IT"/>
        </w:rPr>
        <w:t>Le seconde invasioni (Saraceni, Ungari, Normanni).</w:t>
      </w:r>
    </w:p>
    <w:p>
      <w:pPr>
        <w:pStyle w:val="Corpo"/>
        <w:numPr>
          <w:ilvl w:val="0"/>
          <w:numId w:val="10"/>
        </w:numPr>
      </w:pPr>
      <w:r>
        <w:rPr>
          <w:b w:val="1"/>
          <w:bCs w:val="1"/>
          <w:rtl w:val="0"/>
        </w:rPr>
        <w:t xml:space="preserve">Modulo 3 </w:t>
      </w:r>
      <w:r>
        <w:rPr>
          <w:b w:val="1"/>
          <w:bCs w:val="1"/>
          <w:rtl w:val="0"/>
          <w:lang w:val="en-US"/>
        </w:rPr>
        <w:t xml:space="preserve">— </w:t>
      </w:r>
      <w:r>
        <w:rPr>
          <w:b w:val="1"/>
          <w:bCs w:val="1"/>
          <w:rtl w:val="0"/>
          <w:lang w:val="it-IT"/>
        </w:rPr>
        <w:t>La svolta dell'Anno Mille e la rinascita dell'Europa:</w:t>
      </w:r>
    </w:p>
    <w:p>
      <w:pPr>
        <w:pStyle w:val="Corpo"/>
        <w:numPr>
          <w:ilvl w:val="1"/>
          <w:numId w:val="14"/>
        </w:numPr>
        <w:rPr>
          <w:lang w:val="it-IT"/>
        </w:rPr>
      </w:pPr>
      <w:r>
        <w:rPr>
          <w:rtl w:val="0"/>
          <w:lang w:val="it-IT"/>
        </w:rPr>
        <w:t>La crescita demografica, le innovazioni agricole e il risveglio delle citt</w:t>
      </w:r>
      <w:r>
        <w:rPr>
          <w:rtl w:val="0"/>
        </w:rPr>
        <w:t xml:space="preserve">à </w:t>
      </w:r>
      <w:r>
        <w:rPr>
          <w:rtl w:val="0"/>
          <w:lang w:val="it-IT"/>
        </w:rPr>
        <w:t>e dei commerci.</w:t>
      </w:r>
    </w:p>
    <w:p>
      <w:pPr>
        <w:pStyle w:val="Corpo"/>
        <w:numPr>
          <w:ilvl w:val="1"/>
          <w:numId w:val="14"/>
        </w:numPr>
        <w:rPr>
          <w:lang w:val="it-IT"/>
        </w:rPr>
      </w:pPr>
      <w:r>
        <w:rPr>
          <w:rtl w:val="0"/>
          <w:lang w:val="it-IT"/>
        </w:rPr>
        <w:t>La lotta per le investiture e la crisi dei due Poteri Universali (Papato e Impero).</w:t>
      </w:r>
    </w:p>
    <w:p>
      <w:pPr>
        <w:pStyle w:val="Corpo"/>
        <w:numPr>
          <w:ilvl w:val="1"/>
          <w:numId w:val="14"/>
        </w:numPr>
        <w:rPr>
          <w:lang w:val="it-IT"/>
        </w:rPr>
      </w:pPr>
      <w:r>
        <w:rPr>
          <w:rtl w:val="0"/>
          <w:lang w:val="it-IT"/>
        </w:rPr>
        <w:t>Le Crociate e l'espansione dell'Occidente nel Mediterraneo.</w:t>
      </w:r>
    </w:p>
    <w:p>
      <w:pPr>
        <w:pStyle w:val="Intestazione 3"/>
      </w:pPr>
      <w:r>
        <w:rPr>
          <w:rFonts w:cs="Arial Unicode MS" w:eastAsia="Arial Unicode MS"/>
          <w:rtl w:val="0"/>
        </w:rPr>
        <w:t>2</w:t>
      </w:r>
      <w:r>
        <w:rPr>
          <w:rFonts w:cs="Arial Unicode MS" w:eastAsia="Arial Unicode MS" w:hint="default"/>
          <w:rtl w:val="0"/>
          <w:lang w:val="it-IT"/>
        </w:rPr>
        <w:t xml:space="preserve">° </w:t>
      </w:r>
      <w:r>
        <w:rPr>
          <w:rFonts w:cs="Arial Unicode MS" w:eastAsia="Arial Unicode MS"/>
          <w:rtl w:val="0"/>
          <w:lang w:val="it-IT"/>
        </w:rPr>
        <w:t>Quadrimestre (Dal Basso Medioevo al Seicento - Pace di Westfalia 1648)</w:t>
      </w:r>
    </w:p>
    <w:p>
      <w:pPr>
        <w:pStyle w:val="Corpo"/>
        <w:numPr>
          <w:ilvl w:val="0"/>
          <w:numId w:val="16"/>
        </w:numPr>
      </w:pPr>
      <w:r>
        <w:rPr>
          <w:b w:val="1"/>
          <w:bCs w:val="1"/>
          <w:rtl w:val="0"/>
        </w:rPr>
        <w:t xml:space="preserve">Modulo 4 </w:t>
      </w:r>
      <w:r>
        <w:rPr>
          <w:b w:val="1"/>
          <w:bCs w:val="1"/>
          <w:rtl w:val="0"/>
          <w:lang w:val="en-US"/>
        </w:rPr>
        <w:t xml:space="preserve">— </w:t>
      </w:r>
      <w:r>
        <w:rPr>
          <w:b w:val="1"/>
          <w:bCs w:val="1"/>
          <w:rtl w:val="0"/>
          <w:lang w:val="it-IT"/>
        </w:rPr>
        <w:t>L'Italia dei Comuni, delle Signorie e l'Europa Monarchica:</w:t>
      </w:r>
    </w:p>
    <w:p>
      <w:pPr>
        <w:pStyle w:val="Corpo"/>
        <w:numPr>
          <w:ilvl w:val="1"/>
          <w:numId w:val="18"/>
        </w:numPr>
        <w:rPr>
          <w:lang w:val="it-IT"/>
        </w:rPr>
      </w:pPr>
      <w:r>
        <w:rPr>
          <w:rtl w:val="0"/>
          <w:lang w:val="it-IT"/>
        </w:rPr>
        <w:t>La nascita dei Comuni in Italia, la borghesia e lo scontro con l'Impero (Federico Barbarossa).</w:t>
      </w:r>
    </w:p>
    <w:p>
      <w:pPr>
        <w:pStyle w:val="Corpo"/>
        <w:numPr>
          <w:ilvl w:val="1"/>
          <w:numId w:val="18"/>
        </w:numPr>
        <w:rPr>
          <w:lang w:val="it-IT"/>
        </w:rPr>
      </w:pPr>
      <w:r>
        <w:rPr>
          <w:rtl w:val="0"/>
          <w:lang w:val="it-IT"/>
        </w:rPr>
        <w:t>Dalle Signorie ai Principati negli Stati regionali italiani.</w:t>
      </w:r>
    </w:p>
    <w:p>
      <w:pPr>
        <w:pStyle w:val="Corpo"/>
        <w:numPr>
          <w:ilvl w:val="1"/>
          <w:numId w:val="18"/>
        </w:numPr>
        <w:rPr>
          <w:lang w:val="it-IT"/>
        </w:rPr>
      </w:pPr>
      <w:r>
        <w:rPr>
          <w:rtl w:val="0"/>
          <w:lang w:val="it-IT"/>
        </w:rPr>
        <w:t>La formazione delle Monarchie Nazionali in Europa (Francia, Inghilterra, Spagna) e la Guerra dei Cent'Anni.</w:t>
      </w:r>
    </w:p>
    <w:p>
      <w:pPr>
        <w:pStyle w:val="Corpo"/>
        <w:numPr>
          <w:ilvl w:val="1"/>
          <w:numId w:val="18"/>
        </w:numPr>
        <w:rPr>
          <w:lang w:val="it-IT"/>
        </w:rPr>
      </w:pPr>
      <w:r>
        <w:rPr>
          <w:rtl w:val="0"/>
          <w:lang w:val="it-IT"/>
        </w:rPr>
        <w:t>La caduta di Costantinopoli (1453) e la fine dell'Impero d'Oriente.</w:t>
      </w:r>
    </w:p>
    <w:p>
      <w:pPr>
        <w:pStyle w:val="Corpo"/>
        <w:numPr>
          <w:ilvl w:val="0"/>
          <w:numId w:val="16"/>
        </w:numPr>
      </w:pPr>
      <w:r>
        <w:rPr>
          <w:b w:val="1"/>
          <w:bCs w:val="1"/>
          <w:rtl w:val="0"/>
        </w:rPr>
        <w:t xml:space="preserve">Modulo 5 </w:t>
      </w:r>
      <w:r>
        <w:rPr>
          <w:b w:val="1"/>
          <w:bCs w:val="1"/>
          <w:rtl w:val="0"/>
          <w:lang w:val="en-US"/>
        </w:rPr>
        <w:t xml:space="preserve">— </w:t>
      </w:r>
      <w:r>
        <w:rPr>
          <w:b w:val="1"/>
          <w:bCs w:val="1"/>
          <w:rtl w:val="0"/>
          <w:lang w:val="it-IT"/>
        </w:rPr>
        <w:t>Il Rinascimento e le Grandi Scoperte Geografiche:</w:t>
      </w:r>
    </w:p>
    <w:p>
      <w:pPr>
        <w:pStyle w:val="Corpo"/>
        <w:numPr>
          <w:ilvl w:val="1"/>
          <w:numId w:val="20"/>
        </w:numPr>
        <w:rPr>
          <w:lang w:val="it-IT"/>
        </w:rPr>
      </w:pPr>
      <w:r>
        <w:rPr>
          <w:rtl w:val="0"/>
          <w:lang w:val="it-IT"/>
        </w:rPr>
        <w:t>Umanesimo e Rinascimento: la centralit</w:t>
      </w:r>
      <w:r>
        <w:rPr>
          <w:rtl w:val="0"/>
        </w:rPr>
        <w:t xml:space="preserve">à </w:t>
      </w:r>
      <w:r>
        <w:rPr>
          <w:rtl w:val="0"/>
          <w:lang w:val="it-IT"/>
        </w:rPr>
        <w:t>dell'uomo, la rivoluzione culturale e l'invenzione della stampa.</w:t>
      </w:r>
    </w:p>
    <w:p>
      <w:pPr>
        <w:pStyle w:val="Corpo"/>
        <w:numPr>
          <w:ilvl w:val="1"/>
          <w:numId w:val="20"/>
        </w:numPr>
        <w:rPr>
          <w:lang w:val="it-IT"/>
        </w:rPr>
      </w:pPr>
      <w:r>
        <w:rPr>
          <w:rtl w:val="0"/>
          <w:lang w:val="it-IT"/>
        </w:rPr>
        <w:t>I viaggi di esplorazione, la scoperta dell'America (1492) e la prima globalizzazione dei mercati.</w:t>
      </w:r>
    </w:p>
    <w:p>
      <w:pPr>
        <w:pStyle w:val="Corpo"/>
        <w:numPr>
          <w:ilvl w:val="0"/>
          <w:numId w:val="16"/>
        </w:numPr>
      </w:pPr>
      <w:r>
        <w:rPr>
          <w:b w:val="1"/>
          <w:bCs w:val="1"/>
          <w:rtl w:val="0"/>
        </w:rPr>
        <w:t xml:space="preserve">Modulo 6 </w:t>
      </w:r>
      <w:r>
        <w:rPr>
          <w:b w:val="1"/>
          <w:bCs w:val="1"/>
          <w:rtl w:val="0"/>
          <w:lang w:val="en-US"/>
        </w:rPr>
        <w:t xml:space="preserve">— </w:t>
      </w:r>
      <w:r>
        <w:rPr>
          <w:b w:val="1"/>
          <w:bCs w:val="1"/>
          <w:rtl w:val="0"/>
          <w:lang w:val="it-IT"/>
        </w:rPr>
        <w:t>Riforma Religiosa, Guerre di Religione e Seicento (fino al 1648):</w:t>
      </w:r>
    </w:p>
    <w:p>
      <w:pPr>
        <w:pStyle w:val="Corpo"/>
        <w:numPr>
          <w:ilvl w:val="1"/>
          <w:numId w:val="22"/>
        </w:numPr>
        <w:rPr>
          <w:lang w:val="it-IT"/>
        </w:rPr>
      </w:pPr>
      <w:r>
        <w:rPr>
          <w:rtl w:val="0"/>
          <w:lang w:val="it-IT"/>
        </w:rPr>
        <w:t>La Riforma Protestante (Lutero, Calvino) e la Controriforma cattolica (Concilio di Trento).</w:t>
      </w:r>
    </w:p>
    <w:p>
      <w:pPr>
        <w:pStyle w:val="Corpo"/>
        <w:numPr>
          <w:ilvl w:val="1"/>
          <w:numId w:val="22"/>
        </w:numPr>
        <w:rPr>
          <w:lang w:val="it-IT"/>
        </w:rPr>
      </w:pPr>
      <w:r>
        <w:rPr>
          <w:rtl w:val="0"/>
          <w:lang w:val="it-IT"/>
        </w:rPr>
        <w:t>Le guerre di religione in Europa e le trasformazioni politiche del Seicento.</w:t>
      </w:r>
    </w:p>
    <w:p>
      <w:pPr>
        <w:pStyle w:val="Corpo"/>
        <w:numPr>
          <w:ilvl w:val="1"/>
          <w:numId w:val="22"/>
        </w:numPr>
        <w:rPr>
          <w:lang w:val="it-IT"/>
        </w:rPr>
      </w:pPr>
      <w:r>
        <w:rPr>
          <w:b w:val="1"/>
          <w:bCs w:val="1"/>
          <w:rtl w:val="0"/>
          <w:lang w:val="it-IT"/>
        </w:rPr>
        <w:t>La Guerra dei Trent'Anni e la Pace di Westfalia (1648):</w:t>
      </w:r>
      <w:r>
        <w:rPr>
          <w:rtl w:val="0"/>
          <w:lang w:val="it-IT"/>
        </w:rPr>
        <w:t xml:space="preserve"> il nuovo assetto geopolitico europeo (traguardo finale della Classe Prima).</w:t>
      </w:r>
    </w:p>
    <w:p>
      <w:pPr>
        <w:pStyle w:val="Corpo"/>
        <w:ind w:left="600" w:firstLine="0"/>
      </w:pPr>
    </w:p>
    <w:p>
      <w:pPr>
        <w:pStyle w:val="Intestazione 2"/>
      </w:pPr>
      <w:r>
        <w:rPr>
          <w:rtl w:val="0"/>
        </w:rPr>
        <w:t>4. METODOLOGIA, STRUMENTI E TECNOLOGIE</w:t>
      </w:r>
    </w:p>
    <w:p>
      <w:pPr>
        <w:pStyle w:val="Corpo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8" name="officeArt object" descr="Rettango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9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w:rPr>
          <w:b w:val="1"/>
          <w:bCs w:val="1"/>
          <w:rtl w:val="0"/>
          <w:lang w:val="it-IT"/>
        </w:rPr>
        <w:t>Metodologie Attive e Narrazione:</w:t>
      </w:r>
      <w:r>
        <w:rPr>
          <w:rtl w:val="0"/>
          <w:lang w:val="es-ES_tradnl"/>
        </w:rPr>
        <w:t xml:space="preserve"> Centralit</w:t>
      </w:r>
      <w:r>
        <w:rPr>
          <w:rtl w:val="0"/>
        </w:rPr>
        <w:t xml:space="preserve">à </w:t>
      </w:r>
      <w:r>
        <w:rPr>
          <w:rtl w:val="0"/>
          <w:lang w:val="it-IT"/>
        </w:rPr>
        <w:t>della narrazione storica, affiancata da didattica laboratoriale sulle fonti, lezione dialogata, *cooperative learning*, schematizzazione tramite mappe spazio-temporali ed uscite sul territorio.</w:t>
      </w:r>
    </w:p>
    <w:p>
      <w:pPr>
        <w:pStyle w:val="Corpo"/>
      </w:pPr>
      <w:r>
        <w:rPr>
          <w:b w:val="1"/>
          <w:bCs w:val="1"/>
          <w:rtl w:val="0"/>
          <w:lang w:val="nl-NL"/>
        </w:rPr>
        <w:t>Eredit</w:t>
      </w:r>
      <w:r>
        <w:rPr>
          <w:b w:val="1"/>
          <w:bCs w:val="1"/>
          <w:rtl w:val="0"/>
        </w:rPr>
        <w:t xml:space="preserve">à </w:t>
      </w:r>
      <w:r>
        <w:rPr>
          <w:b w:val="1"/>
          <w:bCs w:val="1"/>
          <w:rtl w:val="0"/>
          <w:lang w:val="it-IT"/>
        </w:rPr>
        <w:t>Linguistico-Culturale:</w:t>
      </w:r>
      <w:r>
        <w:rPr>
          <w:rtl w:val="0"/>
          <w:lang w:val="it-IT"/>
        </w:rPr>
        <w:t xml:space="preserve"> Valorizzazione dei legami tra la storia europea e le radici latine/classiche, evidenziando la continuit</w:t>
      </w:r>
      <w:r>
        <w:rPr>
          <w:rtl w:val="0"/>
        </w:rPr>
        <w:t xml:space="preserve">à </w:t>
      </w:r>
      <w:r>
        <w:rPr>
          <w:rtl w:val="0"/>
          <w:lang w:val="it-IT"/>
        </w:rPr>
        <w:t>delle istituzioni e delle parole del lessico civile.</w:t>
      </w:r>
    </w:p>
    <w:p>
      <w:pPr>
        <w:pStyle w:val="Corpo"/>
      </w:pPr>
      <w:r>
        <w:rPr>
          <w:b w:val="1"/>
          <w:bCs w:val="1"/>
          <w:rtl w:val="0"/>
          <w:lang w:val="it-IT"/>
        </w:rPr>
        <w:t>Uso Consapevole del Digitale e dell'IA:</w:t>
      </w:r>
      <w:r>
        <w:rPr>
          <w:rtl w:val="0"/>
          <w:lang w:val="it-IT"/>
        </w:rPr>
        <w:t xml:space="preserve"> Impiego delle piattaforme, mappe interattive (Google Earth), documentari e archivi digitali, educando gli studenti al rigore metodologico e alla verifica delle fonti per contrastare la disinformazione storica.</w:t>
      </w:r>
    </w:p>
    <w:p>
      <w:pPr>
        <w:pStyle w:val="Corpo"/>
      </w:pPr>
      <w:r>
        <w:rPr>
          <w:b w:val="1"/>
          <w:bCs w:val="1"/>
          <w:rtl w:val="0"/>
          <w:lang w:val="it-IT"/>
        </w:rPr>
        <w:t>Materiali e Risorse Didattiche:</w:t>
      </w:r>
      <w:r>
        <w:rPr>
          <w:rtl w:val="0"/>
          <w:lang w:val="it-IT"/>
        </w:rPr>
        <w:t xml:space="preserve"> Libro di testo (cartaceo e digitale), atlante storico, fonti storiche in riproduzione, schede operative, mappe concettuali, video-documentari e visite didattiche a siti e musei locali.</w:t>
      </w:r>
    </w:p>
    <w:p>
      <w:pPr>
        <w:pStyle w:val="Corpo"/>
      </w:pPr>
    </w:p>
    <w:p>
      <w:pPr>
        <w:pStyle w:val="Corpo"/>
      </w:pPr>
    </w:p>
    <w:p>
      <w:pPr>
        <w:pStyle w:val="Corpo"/>
      </w:pPr>
      <w:r/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0" w:footer="72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ile importato 1"/>
  </w:abstractNum>
  <w:abstractNum w:abstractNumId="1">
    <w:multiLevelType w:val="hybridMultilevel"/>
    <w:styleLink w:val="Stile importato 1"/>
    <w:lvl w:ilvl="0">
      <w:start w:val="1"/>
      <w:numFmt w:val="bullet"/>
      <w:suff w:val="tab"/>
      <w:lvlText w:val="●"/>
      <w:lvlJc w:val="left"/>
      <w:pPr>
        <w:ind w:left="60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■"/>
      <w:lvlJc w:val="left"/>
      <w:pPr>
        <w:ind w:left="288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■"/>
      <w:lvlJc w:val="left"/>
      <w:pPr>
        <w:ind w:left="360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■"/>
      <w:lvlJc w:val="left"/>
      <w:pPr>
        <w:ind w:left="504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■"/>
      <w:lvlJc w:val="left"/>
      <w:pPr>
        <w:ind w:left="576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Stile importato 2"/>
  </w:abstractNum>
  <w:abstractNum w:abstractNumId="3">
    <w:multiLevelType w:val="hybridMultilevel"/>
    <w:styleLink w:val="Stile importato 2"/>
    <w:lvl w:ilvl="0">
      <w:start w:val="1"/>
      <w:numFmt w:val="bullet"/>
      <w:suff w:val="tab"/>
      <w:lvlText w:val="●"/>
      <w:lvlJc w:val="left"/>
      <w:pPr>
        <w:ind w:left="60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■"/>
      <w:lvlJc w:val="left"/>
      <w:pPr>
        <w:ind w:left="288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■"/>
      <w:lvlJc w:val="left"/>
      <w:pPr>
        <w:ind w:left="360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■"/>
      <w:lvlJc w:val="left"/>
      <w:pPr>
        <w:ind w:left="504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■"/>
      <w:lvlJc w:val="left"/>
      <w:pPr>
        <w:ind w:left="576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lvl w:ilvl="0">
      <w:start w:val="1"/>
      <w:numFmt w:val="bullet"/>
      <w:suff w:val="tab"/>
      <w:lvlText w:val="●"/>
      <w:lvlJc w:val="left"/>
      <w:pPr>
        <w:ind w:left="60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■"/>
      <w:lvlJc w:val="left"/>
      <w:pPr>
        <w:ind w:left="288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■"/>
      <w:lvlJc w:val="left"/>
      <w:pPr>
        <w:ind w:left="360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■"/>
      <w:lvlJc w:val="left"/>
      <w:pPr>
        <w:ind w:left="504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■"/>
      <w:lvlJc w:val="left"/>
      <w:pPr>
        <w:ind w:left="576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multiLevelType w:val="hybridMultilevel"/>
    <w:lvl w:ilvl="0">
      <w:start w:val="1"/>
      <w:numFmt w:val="bullet"/>
      <w:suff w:val="tab"/>
      <w:lvlText w:val="●"/>
      <w:lvlJc w:val="left"/>
      <w:pPr>
        <w:ind w:left="60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■"/>
      <w:lvlJc w:val="left"/>
      <w:pPr>
        <w:ind w:left="288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■"/>
      <w:lvlJc w:val="left"/>
      <w:pPr>
        <w:ind w:left="360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■"/>
      <w:lvlJc w:val="left"/>
      <w:pPr>
        <w:ind w:left="504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■"/>
      <w:lvlJc w:val="left"/>
      <w:pPr>
        <w:ind w:left="576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lvl w:ilvl="0">
      <w:start w:val="1"/>
      <w:numFmt w:val="bullet"/>
      <w:suff w:val="tab"/>
      <w:lvlText w:val="●"/>
      <w:lvlJc w:val="left"/>
      <w:pPr>
        <w:ind w:left="60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■"/>
      <w:lvlJc w:val="left"/>
      <w:pPr>
        <w:ind w:left="288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■"/>
      <w:lvlJc w:val="left"/>
      <w:pPr>
        <w:ind w:left="360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■"/>
      <w:lvlJc w:val="left"/>
      <w:pPr>
        <w:ind w:left="504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■"/>
      <w:lvlJc w:val="left"/>
      <w:pPr>
        <w:ind w:left="576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>
    <w:multiLevelType w:val="hybridMultilevel"/>
    <w:lvl w:ilvl="0">
      <w:start w:val="1"/>
      <w:numFmt w:val="bullet"/>
      <w:suff w:val="tab"/>
      <w:lvlText w:val="●"/>
      <w:lvlJc w:val="left"/>
      <w:pPr>
        <w:ind w:left="60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■"/>
      <w:lvlJc w:val="left"/>
      <w:pPr>
        <w:ind w:left="288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■"/>
      <w:lvlJc w:val="left"/>
      <w:pPr>
        <w:ind w:left="360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■"/>
      <w:lvlJc w:val="left"/>
      <w:pPr>
        <w:ind w:left="504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■"/>
      <w:lvlJc w:val="left"/>
      <w:pPr>
        <w:ind w:left="576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Stile importato 7"/>
  </w:abstractNum>
  <w:abstractNum w:abstractNumId="9">
    <w:multiLevelType w:val="hybridMultilevel"/>
    <w:styleLink w:val="Stile importato 7"/>
    <w:lvl w:ilvl="0">
      <w:start w:val="1"/>
      <w:numFmt w:val="bullet"/>
      <w:suff w:val="tab"/>
      <w:lvlText w:val="●"/>
      <w:lvlJc w:val="left"/>
      <w:pPr>
        <w:ind w:left="60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20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■"/>
      <w:lvlJc w:val="left"/>
      <w:pPr>
        <w:ind w:left="288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■"/>
      <w:lvlJc w:val="left"/>
      <w:pPr>
        <w:ind w:left="360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■"/>
      <w:lvlJc w:val="left"/>
      <w:pPr>
        <w:ind w:left="504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■"/>
      <w:lvlJc w:val="left"/>
      <w:pPr>
        <w:ind w:left="576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Stile importato 8"/>
  </w:abstractNum>
  <w:abstractNum w:abstractNumId="11">
    <w:multiLevelType w:val="hybridMultilevel"/>
    <w:styleLink w:val="Stile importato 8"/>
    <w:lvl w:ilvl="0">
      <w:start w:val="1"/>
      <w:numFmt w:val="bullet"/>
      <w:suff w:val="tab"/>
      <w:lvlText w:val="●"/>
      <w:lvlJc w:val="left"/>
      <w:pPr>
        <w:ind w:left="60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20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■"/>
      <w:lvlJc w:val="left"/>
      <w:pPr>
        <w:ind w:left="288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■"/>
      <w:lvlJc w:val="left"/>
      <w:pPr>
        <w:ind w:left="360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■"/>
      <w:lvlJc w:val="left"/>
      <w:pPr>
        <w:ind w:left="504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■"/>
      <w:lvlJc w:val="left"/>
      <w:pPr>
        <w:ind w:left="576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numStyleLink w:val="Stile importato 9"/>
  </w:abstractNum>
  <w:abstractNum w:abstractNumId="13">
    <w:multiLevelType w:val="hybridMultilevel"/>
    <w:styleLink w:val="Stile importato 9"/>
    <w:lvl w:ilvl="0">
      <w:start w:val="1"/>
      <w:numFmt w:val="bullet"/>
      <w:suff w:val="tab"/>
      <w:lvlText w:val="●"/>
      <w:lvlJc w:val="left"/>
      <w:pPr>
        <w:ind w:left="60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20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■"/>
      <w:lvlJc w:val="left"/>
      <w:pPr>
        <w:ind w:left="288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■"/>
      <w:lvlJc w:val="left"/>
      <w:pPr>
        <w:ind w:left="360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■"/>
      <w:lvlJc w:val="left"/>
      <w:pPr>
        <w:ind w:left="504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■"/>
      <w:lvlJc w:val="left"/>
      <w:pPr>
        <w:ind w:left="576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numStyleLink w:val="Stile importato 10"/>
  </w:abstractNum>
  <w:abstractNum w:abstractNumId="15">
    <w:multiLevelType w:val="hybridMultilevel"/>
    <w:styleLink w:val="Stile importato 10"/>
    <w:lvl w:ilvl="0">
      <w:start w:val="1"/>
      <w:numFmt w:val="bullet"/>
      <w:suff w:val="tab"/>
      <w:lvlText w:val="●"/>
      <w:lvlJc w:val="left"/>
      <w:pPr>
        <w:ind w:left="60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20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■"/>
      <w:lvlJc w:val="left"/>
      <w:pPr>
        <w:ind w:left="288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■"/>
      <w:lvlJc w:val="left"/>
      <w:pPr>
        <w:ind w:left="360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■"/>
      <w:lvlJc w:val="left"/>
      <w:pPr>
        <w:ind w:left="504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■"/>
      <w:lvlJc w:val="left"/>
      <w:pPr>
        <w:ind w:left="576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multiLevelType w:val="hybridMultilevel"/>
    <w:numStyleLink w:val="Stile importato 11"/>
  </w:abstractNum>
  <w:abstractNum w:abstractNumId="17">
    <w:multiLevelType w:val="hybridMultilevel"/>
    <w:styleLink w:val="Stile importato 11"/>
    <w:lvl w:ilvl="0">
      <w:start w:val="1"/>
      <w:numFmt w:val="bullet"/>
      <w:suff w:val="tab"/>
      <w:lvlText w:val="●"/>
      <w:lvlJc w:val="left"/>
      <w:pPr>
        <w:ind w:left="60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20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■"/>
      <w:lvlJc w:val="left"/>
      <w:pPr>
        <w:ind w:left="288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■"/>
      <w:lvlJc w:val="left"/>
      <w:pPr>
        <w:ind w:left="360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■"/>
      <w:lvlJc w:val="left"/>
      <w:pPr>
        <w:ind w:left="504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■"/>
      <w:lvlJc w:val="left"/>
      <w:pPr>
        <w:ind w:left="576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>
    <w:multiLevelType w:val="hybridMultilevel"/>
    <w:numStyleLink w:val="Stile importato 12"/>
  </w:abstractNum>
  <w:abstractNum w:abstractNumId="19">
    <w:multiLevelType w:val="hybridMultilevel"/>
    <w:styleLink w:val="Stile importato 12"/>
    <w:lvl w:ilvl="0">
      <w:start w:val="1"/>
      <w:numFmt w:val="bullet"/>
      <w:suff w:val="tab"/>
      <w:lvlText w:val="●"/>
      <w:lvlJc w:val="left"/>
      <w:pPr>
        <w:ind w:left="60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20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■"/>
      <w:lvlJc w:val="left"/>
      <w:pPr>
        <w:ind w:left="288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■"/>
      <w:lvlJc w:val="left"/>
      <w:pPr>
        <w:ind w:left="360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■"/>
      <w:lvlJc w:val="left"/>
      <w:pPr>
        <w:ind w:left="504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■"/>
      <w:lvlJc w:val="left"/>
      <w:pPr>
        <w:ind w:left="576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>
    <w:multiLevelType w:val="hybridMultilevel"/>
    <w:numStyleLink w:val="Stile importato 13"/>
  </w:abstractNum>
  <w:abstractNum w:abstractNumId="21">
    <w:multiLevelType w:val="hybridMultilevel"/>
    <w:styleLink w:val="Stile importato 13"/>
    <w:lvl w:ilvl="0">
      <w:start w:val="1"/>
      <w:numFmt w:val="bullet"/>
      <w:suff w:val="tab"/>
      <w:lvlText w:val="●"/>
      <w:lvlJc w:val="left"/>
      <w:pPr>
        <w:ind w:left="60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20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■"/>
      <w:lvlJc w:val="left"/>
      <w:pPr>
        <w:ind w:left="288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■"/>
      <w:lvlJc w:val="left"/>
      <w:pPr>
        <w:ind w:left="360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■"/>
      <w:lvlJc w:val="left"/>
      <w:pPr>
        <w:ind w:left="504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■"/>
      <w:lvlJc w:val="left"/>
      <w:pPr>
        <w:ind w:left="576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9"/>
  </w:num>
  <w:num w:numId="10">
    <w:abstractNumId w:val="8"/>
  </w:num>
  <w:num w:numId="11">
    <w:abstractNumId w:val="11"/>
  </w:num>
  <w:num w:numId="12">
    <w:abstractNumId w:val="10"/>
  </w:num>
  <w:num w:numId="13">
    <w:abstractNumId w:val="13"/>
  </w:num>
  <w:num w:numId="14">
    <w:abstractNumId w:val="12"/>
  </w:num>
  <w:num w:numId="15">
    <w:abstractNumId w:val="15"/>
  </w:num>
  <w:num w:numId="16">
    <w:abstractNumId w:val="14"/>
  </w:num>
  <w:num w:numId="17">
    <w:abstractNumId w:val="17"/>
  </w:num>
  <w:num w:numId="18">
    <w:abstractNumId w:val="16"/>
  </w:num>
  <w:num w:numId="19">
    <w:abstractNumId w:val="19"/>
  </w:num>
  <w:num w:numId="20">
    <w:abstractNumId w:val="18"/>
  </w:num>
  <w:num w:numId="21">
    <w:abstractNumId w:val="21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Intestazione">
    <w:name w:val="Intestazione"/>
    <w:next w:val="Corpo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240" w:after="75" w:line="300" w:lineRule="auto"/>
      <w:ind w:left="0" w:right="0" w:firstLine="0"/>
      <w:jc w:val="center"/>
      <w:outlineLvl w:val="0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1a365d"/>
      <w:spacing w:val="0"/>
      <w:kern w:val="0"/>
      <w:position w:val="0"/>
      <w:sz w:val="40"/>
      <w:szCs w:val="40"/>
      <w:u w:val="none" w:color="1a365d"/>
      <w:shd w:val="nil" w:color="auto" w:fill="auto"/>
      <w:vertAlign w:val="baseline"/>
      <w14:textOutline>
        <w14:noFill/>
      </w14:textOutline>
      <w14:textFill>
        <w14:solidFill>
          <w14:srgbClr w14:val="1A365D"/>
        </w14:solidFill>
      </w14:textFill>
    </w:rPr>
  </w:style>
  <w:style w:type="paragraph" w:styleId="Corpo">
    <w:name w:val="Corpo"/>
    <w:next w:val="Corpo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30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Intestazione 2">
    <w:name w:val="Intestazione 2"/>
    <w:next w:val="Corpo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300" w:after="210" w:line="300" w:lineRule="auto"/>
      <w:ind w:left="0" w:right="0" w:firstLine="0"/>
      <w:jc w:val="left"/>
      <w:outlineLvl w:val="1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2b6cb0"/>
      <w:spacing w:val="0"/>
      <w:kern w:val="0"/>
      <w:position w:val="0"/>
      <w:sz w:val="28"/>
      <w:szCs w:val="28"/>
      <w:u w:val="none" w:color="2b6cb0"/>
      <w:shd w:val="nil" w:color="auto" w:fill="auto"/>
      <w:vertAlign w:val="baseline"/>
      <w:lang w:val="it-IT"/>
      <w14:textOutline>
        <w14:noFill/>
      </w14:textOutline>
      <w14:textFill>
        <w14:solidFill>
          <w14:srgbClr w14:val="2B6CB0"/>
        </w14:solidFill>
      </w14:textFill>
    </w:rPr>
  </w:style>
  <w:style w:type="paragraph" w:styleId="Intestazione 3">
    <w:name w:val="Intestazione 3"/>
    <w:next w:val="Corpo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225" w:after="75" w:line="300" w:lineRule="auto"/>
      <w:ind w:left="0" w:right="0" w:firstLine="0"/>
      <w:jc w:val="left"/>
      <w:outlineLvl w:val="2"/>
    </w:pPr>
    <w:rPr>
      <w:rFonts w:ascii="Arial" w:cs="Arial" w:hAnsi="Arial" w:eastAsia="Arial"/>
      <w:b w:val="1"/>
      <w:bCs w:val="1"/>
      <w:i w:val="0"/>
      <w:iCs w:val="0"/>
      <w:caps w:val="0"/>
      <w:smallCaps w:val="0"/>
      <w:strike w:val="0"/>
      <w:dstrike w:val="0"/>
      <w:outline w:val="0"/>
      <w:color w:val="2d3748"/>
      <w:spacing w:val="0"/>
      <w:kern w:val="0"/>
      <w:position w:val="0"/>
      <w:sz w:val="24"/>
      <w:szCs w:val="24"/>
      <w:u w:val="none" w:color="2d3748"/>
      <w:shd w:val="nil" w:color="auto" w:fill="auto"/>
      <w:vertAlign w:val="baseline"/>
      <w14:textOutline>
        <w14:noFill/>
      </w14:textOutline>
      <w14:textFill>
        <w14:solidFill>
          <w14:srgbClr w14:val="2D3748"/>
        </w14:solidFill>
      </w14:textFill>
    </w:rPr>
  </w:style>
  <w:style w:type="numbering" w:styleId="Stile importato 1">
    <w:name w:val="Stile importato 1"/>
    <w:pPr>
      <w:numPr>
        <w:numId w:val="1"/>
      </w:numPr>
    </w:pPr>
  </w:style>
  <w:style w:type="numbering" w:styleId="Stile importato 2">
    <w:name w:val="Stile importato 2"/>
    <w:pPr>
      <w:numPr>
        <w:numId w:val="3"/>
      </w:numPr>
    </w:pPr>
  </w:style>
  <w:style w:type="numbering" w:styleId="Stile importato 7">
    <w:name w:val="Stile importato 7"/>
    <w:pPr>
      <w:numPr>
        <w:numId w:val="9"/>
      </w:numPr>
    </w:pPr>
  </w:style>
  <w:style w:type="numbering" w:styleId="Stile importato 8">
    <w:name w:val="Stile importato 8"/>
    <w:pPr>
      <w:numPr>
        <w:numId w:val="11"/>
      </w:numPr>
    </w:pPr>
  </w:style>
  <w:style w:type="numbering" w:styleId="Stile importato 9">
    <w:name w:val="Stile importato 9"/>
    <w:pPr>
      <w:numPr>
        <w:numId w:val="13"/>
      </w:numPr>
    </w:pPr>
  </w:style>
  <w:style w:type="numbering" w:styleId="Stile importato 10">
    <w:name w:val="Stile importato 10"/>
    <w:pPr>
      <w:numPr>
        <w:numId w:val="15"/>
      </w:numPr>
    </w:pPr>
  </w:style>
  <w:style w:type="numbering" w:styleId="Stile importato 11">
    <w:name w:val="Stile importato 11"/>
    <w:pPr>
      <w:numPr>
        <w:numId w:val="17"/>
      </w:numPr>
    </w:pPr>
  </w:style>
  <w:style w:type="numbering" w:styleId="Stile importato 12">
    <w:name w:val="Stile importato 12"/>
    <w:pPr>
      <w:numPr>
        <w:numId w:val="19"/>
      </w:numPr>
    </w:pPr>
  </w:style>
  <w:style w:type="numbering" w:styleId="Stile importato 13">
    <w:name w:val="Stile importato 13"/>
    <w:pPr>
      <w:numPr>
        <w:numId w:val="2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