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47" w:rsidRDefault="007A4647">
      <w:pPr>
        <w:kinsoku w:val="0"/>
        <w:overflowPunct w:val="0"/>
        <w:spacing w:before="9" w:line="70" w:lineRule="exact"/>
        <w:rPr>
          <w:sz w:val="7"/>
          <w:szCs w:val="7"/>
        </w:rPr>
      </w:pPr>
      <w:bookmarkStart w:id="0" w:name="_GoBack"/>
      <w:bookmarkEnd w:id="0"/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5"/>
        <w:gridCol w:w="4252"/>
        <w:gridCol w:w="3768"/>
        <w:gridCol w:w="4935"/>
      </w:tblGrid>
      <w:tr w:rsidR="007A4647" w:rsidTr="00FF5F86">
        <w:trPr>
          <w:trHeight w:hRule="exact" w:val="2084"/>
        </w:trPr>
        <w:tc>
          <w:tcPr>
            <w:tcW w:w="15540" w:type="dxa"/>
            <w:gridSpan w:val="4"/>
            <w:shd w:val="clear" w:color="auto" w:fill="A8D08D" w:themeFill="accent6" w:themeFillTint="99"/>
          </w:tcPr>
          <w:p w:rsidR="00FF5F86" w:rsidRDefault="00FF5F86" w:rsidP="00FF5F86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 xml:space="preserve">Istituto comprensivo Pio Fedi Grotte S. Stefano </w:t>
            </w:r>
          </w:p>
          <w:p w:rsidR="00FF5F86" w:rsidRDefault="00FF5F86" w:rsidP="00FF5F86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Programmazione d’istituto</w:t>
            </w:r>
          </w:p>
          <w:p w:rsidR="00D61858" w:rsidRDefault="00D61858" w:rsidP="00D61858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Scuola Secondaria</w:t>
            </w:r>
          </w:p>
          <w:p w:rsidR="00872D3D" w:rsidRDefault="00872D3D" w:rsidP="00FF5F86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DIPARTIMENTO DI……</w:t>
            </w:r>
            <w:r w:rsidR="000C723D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MUSICA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……………….</w:t>
            </w:r>
          </w:p>
          <w:p w:rsidR="007A4647" w:rsidRDefault="007A4647" w:rsidP="000C723D">
            <w:pPr>
              <w:pStyle w:val="TableParagraph"/>
              <w:kinsoku w:val="0"/>
              <w:overflowPunct w:val="0"/>
              <w:spacing w:before="47" w:line="359" w:lineRule="auto"/>
              <w:ind w:left="6689" w:right="5025" w:hanging="1665"/>
              <w:jc w:val="center"/>
            </w:pP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CLASS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I</w:t>
            </w:r>
            <w:r w:rsidR="009550A6">
              <w:rPr>
                <w:rFonts w:ascii="Verdana" w:hAnsi="Verdana" w:cs="Verdana"/>
                <w:b/>
                <w:bCs/>
                <w:spacing w:val="-12"/>
                <w:sz w:val="28"/>
                <w:szCs w:val="28"/>
              </w:rPr>
              <w:t>……</w:t>
            </w:r>
            <w:r w:rsidR="000C723D">
              <w:rPr>
                <w:rFonts w:ascii="Verdana" w:hAnsi="Verdana" w:cs="Verdana"/>
                <w:b/>
                <w:bCs/>
                <w:spacing w:val="-12"/>
                <w:sz w:val="28"/>
                <w:szCs w:val="28"/>
              </w:rPr>
              <w:t>PRIME</w:t>
            </w:r>
            <w:r w:rsidR="009550A6">
              <w:rPr>
                <w:rFonts w:ascii="Verdana" w:hAnsi="Verdana" w:cs="Verdana"/>
                <w:b/>
                <w:bCs/>
                <w:spacing w:val="-12"/>
                <w:sz w:val="28"/>
                <w:szCs w:val="28"/>
              </w:rPr>
              <w:t>………………</w:t>
            </w:r>
          </w:p>
        </w:tc>
      </w:tr>
      <w:tr w:rsidR="007A4647" w:rsidTr="00FF5F86">
        <w:trPr>
          <w:trHeight w:hRule="exact" w:val="540"/>
        </w:trPr>
        <w:tc>
          <w:tcPr>
            <w:tcW w:w="15540" w:type="dxa"/>
            <w:gridSpan w:val="4"/>
            <w:shd w:val="clear" w:color="auto" w:fill="C5E0B3" w:themeFill="accent6" w:themeFillTint="66"/>
          </w:tcPr>
          <w:p w:rsidR="007A4647" w:rsidRDefault="009550A6">
            <w:pPr>
              <w:pStyle w:val="TableParagraph"/>
              <w:kinsoku w:val="0"/>
              <w:overflowPunct w:val="0"/>
              <w:spacing w:line="328" w:lineRule="exact"/>
              <w:ind w:left="6942" w:right="6948"/>
              <w:jc w:val="center"/>
            </w:pP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MATERIA</w:t>
            </w:r>
          </w:p>
        </w:tc>
      </w:tr>
      <w:tr w:rsidR="007A4647" w:rsidTr="00C0532C">
        <w:trPr>
          <w:trHeight w:hRule="exact" w:val="6948"/>
        </w:trPr>
        <w:tc>
          <w:tcPr>
            <w:tcW w:w="15540" w:type="dxa"/>
            <w:gridSpan w:val="4"/>
          </w:tcPr>
          <w:p w:rsidR="007A4647" w:rsidRDefault="007A4647" w:rsidP="002C6355">
            <w:pPr>
              <w:pStyle w:val="TableParagraph"/>
              <w:kinsoku w:val="0"/>
              <w:overflowPunct w:val="0"/>
              <w:spacing w:line="360" w:lineRule="auto"/>
              <w:ind w:left="8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COMPETENZA</w:t>
            </w:r>
            <w:r>
              <w:rPr>
                <w:rFonts w:ascii="Verdana" w:hAnsi="Verdana" w:cs="Verdana"/>
                <w:b/>
                <w:bCs/>
                <w:spacing w:val="-11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CHIAVE</w:t>
            </w:r>
            <w:r>
              <w:rPr>
                <w:rFonts w:ascii="Verdana" w:hAnsi="Verdana" w:cs="Verdana"/>
                <w:b/>
                <w:bCs/>
                <w:spacing w:val="-11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EUROPEA:</w:t>
            </w:r>
            <w:r>
              <w:rPr>
                <w:rFonts w:ascii="Verdana" w:hAnsi="Verdana" w:cs="Verdana"/>
                <w:b/>
                <w:bCs/>
                <w:spacing w:val="-11"/>
              </w:rPr>
              <w:t xml:space="preserve"> </w:t>
            </w:r>
            <w:r w:rsidR="00564746">
              <w:rPr>
                <w:rFonts w:ascii="Verdana" w:hAnsi="Verdana" w:cs="Verdana"/>
                <w:bCs/>
                <w:spacing w:val="-11"/>
              </w:rPr>
              <w:t xml:space="preserve">comunicazione nella madre lingua; competenza digitale; imparare ad imparare; </w:t>
            </w:r>
            <w:r w:rsidR="002C6355">
              <w:rPr>
                <w:rFonts w:ascii="Verdana" w:hAnsi="Verdana" w:cs="Verdana"/>
                <w:bCs/>
                <w:spacing w:val="-11"/>
              </w:rPr>
              <w:t>competenze sociali e civiche; competenza ed espressione culturale.</w:t>
            </w:r>
          </w:p>
          <w:p w:rsidR="007A4647" w:rsidRDefault="007A4647">
            <w:pPr>
              <w:pStyle w:val="TableParagraph"/>
              <w:kinsoku w:val="0"/>
              <w:overflowPunct w:val="0"/>
              <w:spacing w:before="8" w:line="130" w:lineRule="exact"/>
              <w:rPr>
                <w:sz w:val="13"/>
                <w:szCs w:val="13"/>
              </w:rPr>
            </w:pPr>
          </w:p>
          <w:p w:rsidR="007A4647" w:rsidRDefault="007A4647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A4647" w:rsidRDefault="007A4647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550A6" w:rsidRDefault="007A4647" w:rsidP="009550A6">
            <w:pPr>
              <w:pStyle w:val="TableParagraph"/>
              <w:kinsoku w:val="0"/>
              <w:overflowPunct w:val="0"/>
              <w:ind w:left="89"/>
              <w:rPr>
                <w:rFonts w:ascii="Verdana" w:hAnsi="Verdana" w:cs="Verdana"/>
                <w:b/>
                <w:bCs/>
                <w:spacing w:val="-1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COMPETENZ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</w:t>
            </w:r>
            <w:r>
              <w:rPr>
                <w:rFonts w:ascii="Verdana" w:hAnsi="Verdana" w:cs="Verdana"/>
                <w:b/>
                <w:bCs/>
                <w:spacing w:val="-16"/>
                <w:sz w:val="22"/>
                <w:szCs w:val="22"/>
              </w:rPr>
              <w:t xml:space="preserve"> </w:t>
            </w:r>
            <w:r w:rsidR="009550A6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TRASVERSALI</w:t>
            </w:r>
          </w:p>
          <w:p w:rsidR="00564746" w:rsidRDefault="00564746" w:rsidP="009550A6">
            <w:pPr>
              <w:pStyle w:val="TableParagraph"/>
              <w:kinsoku w:val="0"/>
              <w:overflowPunct w:val="0"/>
              <w:ind w:left="89"/>
              <w:rPr>
                <w:rFonts w:ascii="Verdana" w:hAnsi="Verdana" w:cs="Verdana"/>
                <w:b/>
                <w:bCs/>
                <w:spacing w:val="-1"/>
              </w:rPr>
            </w:pPr>
          </w:p>
          <w:p w:rsidR="005F5869" w:rsidRDefault="00D1429C" w:rsidP="005F5869">
            <w:pPr>
              <w:pStyle w:val="NormaleWeb"/>
              <w:numPr>
                <w:ilvl w:val="0"/>
                <w:numId w:val="66"/>
              </w:numPr>
            </w:pPr>
            <w:r>
              <w:rPr>
                <w:sz w:val="27"/>
                <w:szCs w:val="27"/>
              </w:rPr>
              <w:t>Comunicare</w:t>
            </w:r>
          </w:p>
          <w:p w:rsidR="005F5869" w:rsidRDefault="005F5869" w:rsidP="005F5869">
            <w:pPr>
              <w:pStyle w:val="NormaleWeb"/>
              <w:ind w:left="720"/>
            </w:pPr>
          </w:p>
          <w:p w:rsidR="00D1429C" w:rsidRPr="005F5869" w:rsidRDefault="00D1429C" w:rsidP="00D1429C">
            <w:pPr>
              <w:pStyle w:val="NormaleWeb"/>
              <w:numPr>
                <w:ilvl w:val="0"/>
                <w:numId w:val="66"/>
              </w:numPr>
            </w:pPr>
            <w:r>
              <w:rPr>
                <w:sz w:val="27"/>
                <w:szCs w:val="27"/>
              </w:rPr>
              <w:t>Interpretare</w:t>
            </w:r>
          </w:p>
          <w:p w:rsidR="005F5869" w:rsidRDefault="005F5869" w:rsidP="005F5869">
            <w:pPr>
              <w:pStyle w:val="NormaleWeb"/>
              <w:ind w:left="720"/>
            </w:pPr>
          </w:p>
          <w:p w:rsidR="007A4647" w:rsidRPr="00BB2553" w:rsidRDefault="00D1429C" w:rsidP="00BB2553">
            <w:pPr>
              <w:pStyle w:val="NormaleWeb"/>
              <w:numPr>
                <w:ilvl w:val="0"/>
                <w:numId w:val="66"/>
              </w:numPr>
            </w:pPr>
            <w:r>
              <w:rPr>
                <w:sz w:val="27"/>
                <w:szCs w:val="27"/>
              </w:rPr>
              <w:t>Rappresentare</w:t>
            </w:r>
          </w:p>
        </w:tc>
      </w:tr>
      <w:tr w:rsidR="007A4647" w:rsidTr="00FF5F86">
        <w:trPr>
          <w:trHeight w:hRule="exact" w:val="510"/>
        </w:trPr>
        <w:tc>
          <w:tcPr>
            <w:tcW w:w="15540" w:type="dxa"/>
            <w:gridSpan w:val="4"/>
            <w:shd w:val="clear" w:color="auto" w:fill="A8D08D" w:themeFill="accent6" w:themeFillTint="99"/>
          </w:tcPr>
          <w:p w:rsidR="007A4647" w:rsidRDefault="000C723D" w:rsidP="000C723D">
            <w:pPr>
              <w:pStyle w:val="TableParagraph"/>
              <w:kinsoku w:val="0"/>
              <w:overflowPunct w:val="0"/>
              <w:spacing w:before="33"/>
              <w:ind w:left="9434"/>
            </w:pPr>
            <w:r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lastRenderedPageBreak/>
              <w:t xml:space="preserve">                                                </w:t>
            </w:r>
            <w:r w:rsidR="007A4647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1</w:t>
            </w:r>
            <w:r w:rsidR="007A4647">
              <w:rPr>
                <w:rFonts w:ascii="Verdana" w:hAnsi="Verdana" w:cs="Verdana"/>
                <w:b/>
                <w:bCs/>
                <w:sz w:val="22"/>
                <w:szCs w:val="22"/>
              </w:rPr>
              <w:t>°</w:t>
            </w:r>
            <w:r w:rsidR="007A4647">
              <w:rPr>
                <w:rFonts w:ascii="Verdana" w:hAnsi="Verdana" w:cs="Verdana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QUADRIMESTRE</w:t>
            </w:r>
            <w:r w:rsidR="007A4647">
              <w:rPr>
                <w:rFonts w:ascii="Verdana" w:hAnsi="Verdana" w:cs="Verdana"/>
                <w:b/>
                <w:bCs/>
                <w:spacing w:val="-5"/>
                <w:sz w:val="22"/>
                <w:szCs w:val="22"/>
              </w:rPr>
              <w:t xml:space="preserve"> </w:t>
            </w:r>
          </w:p>
        </w:tc>
      </w:tr>
      <w:tr w:rsidR="007A4647" w:rsidTr="00407FD1">
        <w:trPr>
          <w:trHeight w:hRule="exact" w:val="621"/>
        </w:trPr>
        <w:tc>
          <w:tcPr>
            <w:tcW w:w="2585" w:type="dxa"/>
            <w:shd w:val="clear" w:color="auto" w:fill="C5E0B3" w:themeFill="accent6" w:themeFillTint="66"/>
          </w:tcPr>
          <w:p w:rsidR="007A4647" w:rsidRDefault="007A4647">
            <w:pPr>
              <w:pStyle w:val="TableParagraph"/>
              <w:kinsoku w:val="0"/>
              <w:overflowPunct w:val="0"/>
              <w:spacing w:line="274" w:lineRule="exact"/>
              <w:ind w:left="179"/>
            </w:pPr>
            <w:r>
              <w:rPr>
                <w:rFonts w:ascii="Verdana" w:hAnsi="Verdana" w:cs="Verdana"/>
                <w:b/>
                <w:bCs/>
              </w:rPr>
              <w:t>NUCLEI</w:t>
            </w:r>
            <w:r>
              <w:rPr>
                <w:rFonts w:ascii="Verdana" w:hAnsi="Verdana" w:cs="Verdana"/>
                <w:b/>
                <w:bCs/>
                <w:spacing w:val="-26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FONDANTI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7A4647" w:rsidRDefault="00F765B7">
            <w:pPr>
              <w:pStyle w:val="TableParagraph"/>
              <w:kinsoku w:val="0"/>
              <w:overflowPunct w:val="0"/>
              <w:spacing w:line="274" w:lineRule="exact"/>
              <w:ind w:left="779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COMPETENZE</w:t>
            </w:r>
          </w:p>
          <w:p w:rsidR="00F90283" w:rsidRDefault="00F90283">
            <w:pPr>
              <w:pStyle w:val="TableParagraph"/>
              <w:kinsoku w:val="0"/>
              <w:overflowPunct w:val="0"/>
              <w:spacing w:line="274" w:lineRule="exact"/>
              <w:ind w:left="779"/>
            </w:pPr>
          </w:p>
        </w:tc>
        <w:tc>
          <w:tcPr>
            <w:tcW w:w="3768" w:type="dxa"/>
            <w:shd w:val="clear" w:color="auto" w:fill="C5E0B3" w:themeFill="accent6" w:themeFillTint="66"/>
          </w:tcPr>
          <w:p w:rsidR="007A4647" w:rsidRDefault="00484E43">
            <w:pPr>
              <w:pStyle w:val="TableParagraph"/>
              <w:kinsoku w:val="0"/>
              <w:overflowPunct w:val="0"/>
              <w:spacing w:line="274" w:lineRule="exact"/>
              <w:ind w:left="1479" w:right="1495"/>
              <w:jc w:val="center"/>
            </w:pPr>
            <w:r>
              <w:rPr>
                <w:rFonts w:ascii="Verdana" w:hAnsi="Verdana" w:cs="Verdana"/>
                <w:b/>
                <w:bCs/>
              </w:rPr>
              <w:t>ABILITÀ’</w:t>
            </w:r>
          </w:p>
        </w:tc>
        <w:tc>
          <w:tcPr>
            <w:tcW w:w="4935" w:type="dxa"/>
            <w:shd w:val="clear" w:color="auto" w:fill="C5E0B3" w:themeFill="accent6" w:themeFillTint="66"/>
          </w:tcPr>
          <w:p w:rsidR="007A4647" w:rsidRDefault="007A4647">
            <w:pPr>
              <w:pStyle w:val="TableParagraph"/>
              <w:kinsoku w:val="0"/>
              <w:overflowPunct w:val="0"/>
              <w:spacing w:line="274" w:lineRule="exact"/>
              <w:ind w:left="644"/>
            </w:pPr>
            <w:r>
              <w:rPr>
                <w:rFonts w:ascii="Verdana" w:hAnsi="Verdana" w:cs="Verdana"/>
                <w:b/>
                <w:bCs/>
              </w:rPr>
              <w:t>ARGOMENTI</w:t>
            </w:r>
            <w:r>
              <w:rPr>
                <w:rFonts w:ascii="Verdana" w:hAnsi="Verdana" w:cs="Verdana"/>
                <w:b/>
                <w:bCs/>
                <w:spacing w:val="-18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E</w:t>
            </w:r>
            <w:r>
              <w:rPr>
                <w:rFonts w:ascii="Verdana" w:hAnsi="Verdana" w:cs="Verdana"/>
                <w:b/>
                <w:bCs/>
                <w:spacing w:val="-17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CONTENUTI</w:t>
            </w:r>
          </w:p>
        </w:tc>
      </w:tr>
      <w:tr w:rsidR="007A4647" w:rsidTr="00C0532C">
        <w:trPr>
          <w:trHeight w:hRule="exact" w:val="8371"/>
        </w:trPr>
        <w:tc>
          <w:tcPr>
            <w:tcW w:w="2585" w:type="dxa"/>
          </w:tcPr>
          <w:p w:rsidR="007A4647" w:rsidRDefault="007A4647">
            <w:pPr>
              <w:pStyle w:val="TableParagraph"/>
              <w:kinsoku w:val="0"/>
              <w:overflowPunct w:val="0"/>
              <w:ind w:left="89"/>
            </w:pPr>
          </w:p>
          <w:p w:rsidR="00F765B7" w:rsidRDefault="00A074F4" w:rsidP="00F765B7">
            <w:pPr>
              <w:pStyle w:val="TableParagraph"/>
              <w:numPr>
                <w:ilvl w:val="0"/>
                <w:numId w:val="65"/>
              </w:numPr>
              <w:kinsoku w:val="0"/>
              <w:overflowPunct w:val="0"/>
            </w:pPr>
            <w:r>
              <w:t>comprensione ed uso dei linguaggi specifici</w:t>
            </w:r>
          </w:p>
          <w:p w:rsidR="00564746" w:rsidRDefault="00564746" w:rsidP="00564746">
            <w:pPr>
              <w:pStyle w:val="TableParagraph"/>
              <w:kinsoku w:val="0"/>
              <w:overflowPunct w:val="0"/>
              <w:ind w:left="449"/>
            </w:pPr>
          </w:p>
          <w:p w:rsidR="00A074F4" w:rsidRDefault="00A074F4" w:rsidP="00F765B7">
            <w:pPr>
              <w:pStyle w:val="TableParagraph"/>
              <w:numPr>
                <w:ilvl w:val="0"/>
                <w:numId w:val="65"/>
              </w:numPr>
              <w:kinsoku w:val="0"/>
              <w:overflowPunct w:val="0"/>
            </w:pPr>
            <w:r>
              <w:t>Espressione vocale ed uso dei mezzi strumentali</w:t>
            </w:r>
          </w:p>
          <w:p w:rsidR="00564746" w:rsidRDefault="00564746" w:rsidP="00564746">
            <w:pPr>
              <w:pStyle w:val="TableParagraph"/>
              <w:kinsoku w:val="0"/>
              <w:overflowPunct w:val="0"/>
              <w:ind w:left="449"/>
            </w:pPr>
          </w:p>
          <w:p w:rsidR="00A074F4" w:rsidRDefault="00A074F4" w:rsidP="00F765B7">
            <w:pPr>
              <w:pStyle w:val="TableParagraph"/>
              <w:numPr>
                <w:ilvl w:val="0"/>
                <w:numId w:val="65"/>
              </w:numPr>
              <w:kinsoku w:val="0"/>
              <w:overflowPunct w:val="0"/>
            </w:pPr>
            <w:r>
              <w:t>Capacità di ascolto dei messaggi sonori</w:t>
            </w:r>
          </w:p>
          <w:p w:rsidR="00564746" w:rsidRDefault="00564746" w:rsidP="00564746">
            <w:pPr>
              <w:pStyle w:val="TableParagraph"/>
              <w:kinsoku w:val="0"/>
              <w:overflowPunct w:val="0"/>
              <w:ind w:left="449"/>
            </w:pPr>
          </w:p>
          <w:p w:rsidR="00564746" w:rsidRDefault="00564746" w:rsidP="00F765B7">
            <w:pPr>
              <w:pStyle w:val="TableParagraph"/>
              <w:numPr>
                <w:ilvl w:val="0"/>
                <w:numId w:val="65"/>
              </w:numPr>
              <w:kinsoku w:val="0"/>
              <w:overflowPunct w:val="0"/>
            </w:pPr>
            <w:r>
              <w:t xml:space="preserve">Rielaborazione </w:t>
            </w:r>
          </w:p>
          <w:p w:rsidR="00A074F4" w:rsidRDefault="00564746" w:rsidP="00564746">
            <w:pPr>
              <w:pStyle w:val="TableParagraph"/>
              <w:kinsoku w:val="0"/>
              <w:overflowPunct w:val="0"/>
              <w:ind w:left="449"/>
            </w:pPr>
            <w:r>
              <w:t>personale dei materiali sonori</w:t>
            </w:r>
          </w:p>
          <w:p w:rsidR="00A074F4" w:rsidRDefault="00A074F4" w:rsidP="00564746">
            <w:pPr>
              <w:pStyle w:val="TableParagraph"/>
              <w:kinsoku w:val="0"/>
              <w:overflowPunct w:val="0"/>
              <w:ind w:left="449"/>
            </w:pPr>
          </w:p>
        </w:tc>
        <w:tc>
          <w:tcPr>
            <w:tcW w:w="4252" w:type="dxa"/>
          </w:tcPr>
          <w:p w:rsidR="00BB2553" w:rsidRPr="00BB2553" w:rsidRDefault="00D1429C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</w:pPr>
            <w:r>
              <w:rPr>
                <w:sz w:val="25"/>
                <w:szCs w:val="25"/>
              </w:rPr>
              <w:t xml:space="preserve">Imparare ad apprendere </w:t>
            </w:r>
          </w:p>
          <w:p w:rsidR="00BB2553" w:rsidRDefault="00D1429C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Usare creatività, ingegno e pluralità delle applicazioni, per affrontare il mondo delle conoscenze</w:t>
            </w:r>
          </w:p>
          <w:p w:rsidR="00407FD1" w:rsidRPr="00BB2553" w:rsidRDefault="00407FD1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</w:pPr>
          </w:p>
          <w:p w:rsidR="00BB2553" w:rsidRDefault="00D1429C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Fronteggiare situazioni problematiche ed adottare strategie di soluzione </w:t>
            </w:r>
          </w:p>
          <w:p w:rsidR="00407FD1" w:rsidRPr="00BB2553" w:rsidRDefault="00407FD1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</w:pPr>
          </w:p>
          <w:p w:rsidR="00BB2553" w:rsidRDefault="00D1429C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Vivere con gli altri cooperando</w:t>
            </w:r>
          </w:p>
          <w:p w:rsidR="00407FD1" w:rsidRPr="00BB2553" w:rsidRDefault="00407FD1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</w:pPr>
          </w:p>
          <w:p w:rsidR="007A4647" w:rsidRDefault="007A4647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</w:pPr>
          </w:p>
        </w:tc>
        <w:tc>
          <w:tcPr>
            <w:tcW w:w="3768" w:type="dxa"/>
          </w:tcPr>
          <w:p w:rsidR="007A4647" w:rsidRDefault="007A4647">
            <w:pPr>
              <w:pStyle w:val="TableParagraph"/>
              <w:kinsoku w:val="0"/>
              <w:overflowPunct w:val="0"/>
              <w:spacing w:line="217" w:lineRule="exact"/>
              <w:ind w:left="8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L'alunno</w:t>
            </w:r>
            <w:r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BB2553" w:rsidRDefault="00BB2553">
            <w:pPr>
              <w:pStyle w:val="TableParagraph"/>
              <w:kinsoku w:val="0"/>
              <w:overflowPunct w:val="0"/>
              <w:spacing w:line="217" w:lineRule="exact"/>
              <w:ind w:left="89"/>
              <w:rPr>
                <w:rFonts w:ascii="Verdana" w:hAnsi="Verdana" w:cs="Verdana"/>
                <w:sz w:val="18"/>
                <w:szCs w:val="18"/>
              </w:rPr>
            </w:pPr>
          </w:p>
          <w:p w:rsidR="007A4647" w:rsidRPr="00BB2553" w:rsidRDefault="00BB2553">
            <w:pPr>
              <w:pStyle w:val="Paragrafoelenco"/>
              <w:numPr>
                <w:ilvl w:val="0"/>
                <w:numId w:val="61"/>
              </w:numPr>
              <w:tabs>
                <w:tab w:val="left" w:pos="448"/>
              </w:tabs>
              <w:kinsoku w:val="0"/>
              <w:overflowPunct w:val="0"/>
              <w:spacing w:before="84" w:line="348" w:lineRule="auto"/>
              <w:ind w:left="449" w:right="326"/>
            </w:pPr>
            <w:r>
              <w:rPr>
                <w:sz w:val="25"/>
                <w:szCs w:val="25"/>
              </w:rPr>
              <w:t>Cantare e suonare, individualmente e in gruppo</w:t>
            </w:r>
          </w:p>
          <w:p w:rsidR="00BB2553" w:rsidRDefault="00BB2553" w:rsidP="00BB2553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 w:line="348" w:lineRule="auto"/>
              <w:ind w:left="449" w:right="326"/>
            </w:pPr>
          </w:p>
          <w:p w:rsidR="00BB2553" w:rsidRDefault="00BB2553" w:rsidP="00BB2553">
            <w:pPr>
              <w:pStyle w:val="Paragrafoelenco"/>
              <w:numPr>
                <w:ilvl w:val="0"/>
                <w:numId w:val="47"/>
              </w:numPr>
              <w:tabs>
                <w:tab w:val="left" w:pos="448"/>
              </w:tabs>
              <w:kinsoku w:val="0"/>
              <w:overflowPunct w:val="0"/>
              <w:spacing w:line="231" w:lineRule="exact"/>
              <w:ind w:left="449"/>
            </w:pPr>
            <w:r>
              <w:rPr>
                <w:sz w:val="25"/>
                <w:szCs w:val="25"/>
              </w:rPr>
              <w:t>Decodificare i simboli della scrittura musicale</w:t>
            </w:r>
          </w:p>
          <w:p w:rsidR="009550A6" w:rsidRDefault="009550A6" w:rsidP="00BB2553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 w:line="348" w:lineRule="auto"/>
              <w:ind w:left="449" w:right="326"/>
            </w:pPr>
          </w:p>
        </w:tc>
        <w:tc>
          <w:tcPr>
            <w:tcW w:w="4935" w:type="dxa"/>
          </w:tcPr>
          <w:p w:rsidR="007A4647" w:rsidRDefault="007A4647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7A4647" w:rsidRDefault="007A4647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7A4647" w:rsidRPr="00407FD1" w:rsidRDefault="00BB2553">
            <w:pPr>
              <w:pStyle w:val="Paragrafoelenco"/>
              <w:numPr>
                <w:ilvl w:val="0"/>
                <w:numId w:val="60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407FD1">
              <w:rPr>
                <w:sz w:val="23"/>
                <w:szCs w:val="23"/>
              </w:rPr>
              <w:t xml:space="preserve">I parametri (le caratteristiche) del suono. La scrittura dei suoni, il pentagramma, le note, la chiave di violino. Esecuzione delle prime note (si, la, sol) con il flauto dolce. </w:t>
            </w:r>
          </w:p>
          <w:p w:rsidR="00BB2553" w:rsidRPr="00407FD1" w:rsidRDefault="00BB2553" w:rsidP="00BB2553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9550A6" w:rsidRPr="00407FD1" w:rsidRDefault="00BB2553">
            <w:pPr>
              <w:pStyle w:val="Paragrafoelenco"/>
              <w:numPr>
                <w:ilvl w:val="0"/>
                <w:numId w:val="60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407FD1">
              <w:rPr>
                <w:sz w:val="23"/>
                <w:szCs w:val="23"/>
              </w:rPr>
              <w:t>La semiminima, minima e relative pause. Il tempo binario e quaternario semplice. Ampliamento della scala musicale: do4, fa3</w:t>
            </w:r>
          </w:p>
          <w:p w:rsidR="00BB2553" w:rsidRPr="00407FD1" w:rsidRDefault="00BB2553" w:rsidP="00BB2553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BB2553" w:rsidRPr="00407FD1" w:rsidRDefault="00BB2553" w:rsidP="00BB2553">
            <w:pPr>
              <w:pStyle w:val="Paragrafoelenco"/>
              <w:numPr>
                <w:ilvl w:val="0"/>
                <w:numId w:val="60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407FD1">
              <w:rPr>
                <w:sz w:val="23"/>
                <w:szCs w:val="23"/>
              </w:rPr>
              <w:t>Il tempo ternario; il punto di valore, la legatura di valore.</w:t>
            </w:r>
            <w:r w:rsidR="00407FD1" w:rsidRPr="00407FD1">
              <w:rPr>
                <w:sz w:val="23"/>
                <w:szCs w:val="23"/>
              </w:rPr>
              <w:t xml:space="preserve"> </w:t>
            </w:r>
            <w:r w:rsidRPr="00407FD1">
              <w:rPr>
                <w:sz w:val="23"/>
                <w:szCs w:val="23"/>
              </w:rPr>
              <w:t>Ampliamento della scala musicale: re4, mi3, re3.</w:t>
            </w:r>
          </w:p>
          <w:p w:rsidR="00BB2553" w:rsidRPr="00407FD1" w:rsidRDefault="00BB2553" w:rsidP="00BB2553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BB2553" w:rsidRPr="00407FD1" w:rsidRDefault="00BB2553" w:rsidP="00BB2553">
            <w:pPr>
              <w:pStyle w:val="Paragrafoelenco"/>
              <w:numPr>
                <w:ilvl w:val="0"/>
                <w:numId w:val="60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407FD1">
              <w:rPr>
                <w:sz w:val="23"/>
                <w:szCs w:val="23"/>
              </w:rPr>
              <w:t>Ampliamento della scala musicale</w:t>
            </w:r>
            <w:r w:rsidR="00564746">
              <w:rPr>
                <w:sz w:val="23"/>
                <w:szCs w:val="23"/>
              </w:rPr>
              <w:t xml:space="preserve"> </w:t>
            </w:r>
            <w:r w:rsidRPr="00407FD1">
              <w:rPr>
                <w:sz w:val="23"/>
                <w:szCs w:val="23"/>
              </w:rPr>
              <w:t>(do3) e dell'esecuzione dei valori (croma). Repertorio di brani con riferimento particolare al Natale.</w:t>
            </w:r>
          </w:p>
          <w:p w:rsidR="00407FD1" w:rsidRPr="00407FD1" w:rsidRDefault="00407FD1" w:rsidP="00407FD1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BB2553" w:rsidRPr="00407FD1" w:rsidRDefault="00407FD1" w:rsidP="00BB2553">
            <w:pPr>
              <w:pStyle w:val="Paragrafoelenco"/>
              <w:numPr>
                <w:ilvl w:val="0"/>
                <w:numId w:val="60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407FD1">
              <w:rPr>
                <w:sz w:val="23"/>
                <w:szCs w:val="23"/>
              </w:rPr>
              <w:t>Gli strumenti musicali dell'orchestra. Pratica strumentale e vocale: ampliamento della scala,delle figurazioni ritmiche. Repertorio di brani musicali con precedenti caratteristiche.</w:t>
            </w:r>
          </w:p>
          <w:p w:rsidR="00407FD1" w:rsidRDefault="00407FD1" w:rsidP="00407FD1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</w:tc>
      </w:tr>
    </w:tbl>
    <w:p w:rsidR="007A4647" w:rsidRDefault="007A4647">
      <w:pPr>
        <w:sectPr w:rsidR="007A4647">
          <w:footerReference w:type="default" r:id="rId8"/>
          <w:pgSz w:w="16860" w:h="11920" w:orient="landscape"/>
          <w:pgMar w:top="940" w:right="600" w:bottom="1140" w:left="500" w:header="0" w:footer="960" w:gutter="0"/>
          <w:pgNumType w:start="1"/>
          <w:cols w:space="720"/>
          <w:noEndnote/>
        </w:sectPr>
      </w:pPr>
    </w:p>
    <w:p w:rsidR="007A4647" w:rsidRDefault="007A4647">
      <w:pPr>
        <w:kinsoku w:val="0"/>
        <w:overflowPunct w:val="0"/>
        <w:spacing w:before="9" w:line="70" w:lineRule="exact"/>
        <w:rPr>
          <w:sz w:val="7"/>
          <w:szCs w:val="7"/>
        </w:rPr>
      </w:pPr>
    </w:p>
    <w:p w:rsidR="007A4647" w:rsidRDefault="007A4647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7A4647" w:rsidRDefault="007A4647">
      <w:pPr>
        <w:kinsoku w:val="0"/>
        <w:overflowPunct w:val="0"/>
        <w:spacing w:line="200" w:lineRule="exact"/>
        <w:rPr>
          <w:sz w:val="20"/>
          <w:szCs w:val="20"/>
        </w:rPr>
      </w:pPr>
    </w:p>
    <w:p w:rsidR="007A4647" w:rsidRDefault="007A4647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3341"/>
        <w:gridCol w:w="4181"/>
        <w:gridCol w:w="4845"/>
      </w:tblGrid>
      <w:tr w:rsidR="007A4647" w:rsidTr="009550A6">
        <w:trPr>
          <w:trHeight w:hRule="exact" w:val="772"/>
        </w:trPr>
        <w:tc>
          <w:tcPr>
            <w:tcW w:w="15252" w:type="dxa"/>
            <w:gridSpan w:val="4"/>
            <w:shd w:val="clear" w:color="auto" w:fill="A8D08D" w:themeFill="accent6" w:themeFillTint="99"/>
          </w:tcPr>
          <w:p w:rsidR="007A4647" w:rsidRDefault="007A4647" w:rsidP="000C723D">
            <w:pPr>
              <w:pStyle w:val="TableParagraph"/>
              <w:kinsoku w:val="0"/>
              <w:overflowPunct w:val="0"/>
              <w:spacing w:before="33"/>
              <w:ind w:right="102"/>
              <w:jc w:val="right"/>
            </w:pPr>
            <w:r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2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°</w:t>
            </w:r>
            <w:r>
              <w:rPr>
                <w:rFonts w:ascii="Verdana" w:hAnsi="Verdana" w:cs="Verdana"/>
                <w:b/>
                <w:bCs/>
                <w:spacing w:val="-5"/>
                <w:sz w:val="22"/>
                <w:szCs w:val="22"/>
              </w:rPr>
              <w:t xml:space="preserve"> </w:t>
            </w:r>
            <w:r w:rsidR="000C723D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QUADRIMESTRE</w:t>
            </w:r>
            <w:r>
              <w:rPr>
                <w:rFonts w:ascii="Verdana" w:hAnsi="Verdana" w:cs="Verdana"/>
                <w:b/>
                <w:bCs/>
                <w:spacing w:val="-4"/>
                <w:sz w:val="22"/>
                <w:szCs w:val="22"/>
              </w:rPr>
              <w:t xml:space="preserve"> </w:t>
            </w:r>
          </w:p>
        </w:tc>
      </w:tr>
      <w:tr w:rsidR="007A4647" w:rsidTr="009550A6">
        <w:trPr>
          <w:trHeight w:hRule="exact" w:val="704"/>
        </w:trPr>
        <w:tc>
          <w:tcPr>
            <w:tcW w:w="2885" w:type="dxa"/>
            <w:shd w:val="clear" w:color="auto" w:fill="C5E0B3" w:themeFill="accent6" w:themeFillTint="66"/>
          </w:tcPr>
          <w:p w:rsidR="007A4647" w:rsidRDefault="007A4647">
            <w:pPr>
              <w:pStyle w:val="TableParagraph"/>
              <w:kinsoku w:val="0"/>
              <w:overflowPunct w:val="0"/>
              <w:spacing w:line="274" w:lineRule="exact"/>
              <w:ind w:left="179"/>
            </w:pPr>
            <w:r>
              <w:rPr>
                <w:rFonts w:ascii="Verdana" w:hAnsi="Verdana" w:cs="Verdana"/>
                <w:b/>
                <w:bCs/>
              </w:rPr>
              <w:t>NUCLEI</w:t>
            </w:r>
            <w:r>
              <w:rPr>
                <w:rFonts w:ascii="Verdana" w:hAnsi="Verdana" w:cs="Verdana"/>
                <w:b/>
                <w:bCs/>
                <w:spacing w:val="-26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FONDANTI</w:t>
            </w:r>
          </w:p>
        </w:tc>
        <w:tc>
          <w:tcPr>
            <w:tcW w:w="3341" w:type="dxa"/>
            <w:shd w:val="clear" w:color="auto" w:fill="C5E0B3" w:themeFill="accent6" w:themeFillTint="66"/>
          </w:tcPr>
          <w:p w:rsidR="007A4647" w:rsidRDefault="007A4647">
            <w:pPr>
              <w:pStyle w:val="TableParagraph"/>
              <w:kinsoku w:val="0"/>
              <w:overflowPunct w:val="0"/>
              <w:spacing w:line="274" w:lineRule="exact"/>
              <w:ind w:left="779"/>
            </w:pPr>
            <w:r>
              <w:rPr>
                <w:rFonts w:ascii="Verdana" w:hAnsi="Verdana" w:cs="Verdana"/>
                <w:b/>
                <w:bCs/>
              </w:rPr>
              <w:t>COMPETENZE</w:t>
            </w:r>
          </w:p>
        </w:tc>
        <w:tc>
          <w:tcPr>
            <w:tcW w:w="4181" w:type="dxa"/>
            <w:shd w:val="clear" w:color="auto" w:fill="C5E0B3" w:themeFill="accent6" w:themeFillTint="66"/>
          </w:tcPr>
          <w:p w:rsidR="007A4647" w:rsidRDefault="00484E43" w:rsidP="00484E43">
            <w:pPr>
              <w:pStyle w:val="TableParagraph"/>
              <w:kinsoku w:val="0"/>
              <w:overflowPunct w:val="0"/>
              <w:spacing w:line="274" w:lineRule="exact"/>
              <w:ind w:right="1495"/>
            </w:pPr>
            <w:r>
              <w:rPr>
                <w:rFonts w:ascii="Verdana" w:hAnsi="Verdana" w:cs="Verdana"/>
                <w:b/>
                <w:bCs/>
              </w:rPr>
              <w:t xml:space="preserve">              </w:t>
            </w:r>
            <w:r w:rsidR="007A4647">
              <w:rPr>
                <w:rFonts w:ascii="Verdana" w:hAnsi="Verdana" w:cs="Verdana"/>
                <w:b/>
                <w:bCs/>
              </w:rPr>
              <w:t>ABILITA’</w:t>
            </w:r>
          </w:p>
        </w:tc>
        <w:tc>
          <w:tcPr>
            <w:tcW w:w="4843" w:type="dxa"/>
            <w:shd w:val="clear" w:color="auto" w:fill="C5E0B3" w:themeFill="accent6" w:themeFillTint="66"/>
          </w:tcPr>
          <w:p w:rsidR="007A4647" w:rsidRDefault="007A4647">
            <w:pPr>
              <w:pStyle w:val="TableParagraph"/>
              <w:kinsoku w:val="0"/>
              <w:overflowPunct w:val="0"/>
              <w:spacing w:line="274" w:lineRule="exact"/>
              <w:ind w:left="644"/>
            </w:pPr>
            <w:r>
              <w:rPr>
                <w:rFonts w:ascii="Verdana" w:hAnsi="Verdana" w:cs="Verdana"/>
                <w:b/>
                <w:bCs/>
              </w:rPr>
              <w:t>ARGOMENTI</w:t>
            </w:r>
            <w:r>
              <w:rPr>
                <w:rFonts w:ascii="Verdana" w:hAnsi="Verdana" w:cs="Verdana"/>
                <w:b/>
                <w:bCs/>
                <w:spacing w:val="-18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E</w:t>
            </w:r>
            <w:r>
              <w:rPr>
                <w:rFonts w:ascii="Verdana" w:hAnsi="Verdana" w:cs="Verdana"/>
                <w:b/>
                <w:bCs/>
                <w:spacing w:val="-17"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CONTENUTI</w:t>
            </w:r>
          </w:p>
        </w:tc>
      </w:tr>
      <w:tr w:rsidR="007A4647" w:rsidTr="009550A6">
        <w:trPr>
          <w:trHeight w:hRule="exact" w:val="7842"/>
        </w:trPr>
        <w:tc>
          <w:tcPr>
            <w:tcW w:w="2885" w:type="dxa"/>
          </w:tcPr>
          <w:p w:rsidR="007A4647" w:rsidRDefault="007A4647">
            <w:pPr>
              <w:pStyle w:val="TableParagraph"/>
              <w:kinsoku w:val="0"/>
              <w:overflowPunct w:val="0"/>
              <w:ind w:left="89"/>
            </w:pPr>
          </w:p>
        </w:tc>
        <w:tc>
          <w:tcPr>
            <w:tcW w:w="3341" w:type="dxa"/>
          </w:tcPr>
          <w:p w:rsidR="00407FD1" w:rsidRDefault="00407FD1" w:rsidP="00407FD1">
            <w:pPr>
              <w:pStyle w:val="TableParagraph"/>
              <w:kinsoku w:val="0"/>
              <w:overflowPunct w:val="0"/>
              <w:spacing w:line="362" w:lineRule="auto"/>
              <w:ind w:left="550" w:right="16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Difendere con argomentazioni il proprio punto di vista, ascoltare il punto di vista degli altri e, se è il caso, modificare il proprio convincimento</w:t>
            </w:r>
          </w:p>
          <w:p w:rsidR="00407FD1" w:rsidRDefault="00407FD1" w:rsidP="00407FD1">
            <w:pPr>
              <w:pStyle w:val="TableParagraph"/>
              <w:kinsoku w:val="0"/>
              <w:overflowPunct w:val="0"/>
              <w:spacing w:line="362" w:lineRule="auto"/>
              <w:ind w:left="1169" w:right="165"/>
              <w:rPr>
                <w:sz w:val="25"/>
                <w:szCs w:val="25"/>
              </w:rPr>
            </w:pPr>
          </w:p>
          <w:p w:rsidR="00407FD1" w:rsidRDefault="00407FD1" w:rsidP="00407FD1">
            <w:pPr>
              <w:pStyle w:val="Paragrafoelenco"/>
              <w:numPr>
                <w:ilvl w:val="0"/>
                <w:numId w:val="48"/>
              </w:numPr>
              <w:tabs>
                <w:tab w:val="left" w:pos="449"/>
              </w:tabs>
              <w:kinsoku w:val="0"/>
              <w:overflowPunct w:val="0"/>
              <w:spacing w:before="84" w:line="348" w:lineRule="auto"/>
              <w:ind w:left="449" w:right="299"/>
            </w:pPr>
            <w:r>
              <w:rPr>
                <w:sz w:val="25"/>
                <w:szCs w:val="25"/>
              </w:rPr>
              <w:t>Avere consapevolezza del proprio corpo e delle proprie emozioni</w:t>
            </w:r>
          </w:p>
          <w:p w:rsidR="009550A6" w:rsidRDefault="009550A6" w:rsidP="00407FD1">
            <w:pPr>
              <w:pStyle w:val="Paragrafoelenco"/>
              <w:tabs>
                <w:tab w:val="left" w:pos="449"/>
              </w:tabs>
              <w:kinsoku w:val="0"/>
              <w:overflowPunct w:val="0"/>
              <w:spacing w:before="84" w:line="348" w:lineRule="auto"/>
              <w:ind w:left="449" w:right="299"/>
            </w:pPr>
          </w:p>
        </w:tc>
        <w:tc>
          <w:tcPr>
            <w:tcW w:w="4181" w:type="dxa"/>
          </w:tcPr>
          <w:p w:rsidR="00EF5269" w:rsidRDefault="00EF5269">
            <w:pPr>
              <w:pStyle w:val="TableParagraph"/>
              <w:kinsoku w:val="0"/>
              <w:overflowPunct w:val="0"/>
              <w:spacing w:line="217" w:lineRule="exact"/>
              <w:ind w:left="89"/>
              <w:rPr>
                <w:rFonts w:ascii="Verdana" w:hAnsi="Verdana" w:cs="Verdana"/>
                <w:sz w:val="18"/>
                <w:szCs w:val="18"/>
              </w:rPr>
            </w:pPr>
          </w:p>
          <w:p w:rsidR="007A4647" w:rsidRDefault="007A4647">
            <w:pPr>
              <w:pStyle w:val="TableParagraph"/>
              <w:kinsoku w:val="0"/>
              <w:overflowPunct w:val="0"/>
              <w:spacing w:line="217" w:lineRule="exact"/>
              <w:ind w:left="8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L'alunno</w:t>
            </w:r>
            <w:r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BB2553" w:rsidRDefault="00BB2553">
            <w:pPr>
              <w:pStyle w:val="TableParagraph"/>
              <w:kinsoku w:val="0"/>
              <w:overflowPunct w:val="0"/>
              <w:spacing w:line="217" w:lineRule="exact"/>
              <w:ind w:left="89"/>
              <w:rPr>
                <w:rFonts w:ascii="Verdana" w:hAnsi="Verdana" w:cs="Verdana"/>
                <w:sz w:val="18"/>
                <w:szCs w:val="18"/>
              </w:rPr>
            </w:pPr>
          </w:p>
          <w:p w:rsidR="00BB2553" w:rsidRPr="00BB2553" w:rsidRDefault="00BB2553" w:rsidP="00BB2553">
            <w:pPr>
              <w:pStyle w:val="Paragrafoelenco"/>
              <w:numPr>
                <w:ilvl w:val="0"/>
                <w:numId w:val="61"/>
              </w:numPr>
              <w:tabs>
                <w:tab w:val="left" w:pos="448"/>
              </w:tabs>
              <w:kinsoku w:val="0"/>
              <w:overflowPunct w:val="0"/>
              <w:spacing w:before="84" w:line="348" w:lineRule="auto"/>
              <w:ind w:left="449" w:right="326"/>
            </w:pPr>
            <w:r>
              <w:rPr>
                <w:sz w:val="25"/>
                <w:szCs w:val="25"/>
              </w:rPr>
              <w:t xml:space="preserve">Ascoltare e comprendere le diverse espressioni musicali </w:t>
            </w:r>
          </w:p>
          <w:p w:rsidR="00BB2553" w:rsidRPr="00BB2553" w:rsidRDefault="00BB2553" w:rsidP="00BB2553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 w:line="348" w:lineRule="auto"/>
              <w:ind w:left="449" w:right="326"/>
            </w:pPr>
          </w:p>
          <w:p w:rsidR="00BB2553" w:rsidRDefault="00BB2553" w:rsidP="00BB2553">
            <w:pPr>
              <w:pStyle w:val="Paragrafoelenco"/>
              <w:numPr>
                <w:ilvl w:val="0"/>
                <w:numId w:val="61"/>
              </w:numPr>
              <w:tabs>
                <w:tab w:val="left" w:pos="448"/>
              </w:tabs>
              <w:kinsoku w:val="0"/>
              <w:overflowPunct w:val="0"/>
              <w:spacing w:before="84" w:line="348" w:lineRule="auto"/>
              <w:ind w:left="449" w:right="326"/>
            </w:pPr>
            <w:r>
              <w:rPr>
                <w:sz w:val="25"/>
                <w:szCs w:val="25"/>
              </w:rPr>
              <w:t>Rielaborare materiali sonori</w:t>
            </w:r>
          </w:p>
          <w:p w:rsidR="009550A6" w:rsidRDefault="009550A6" w:rsidP="00BB2553">
            <w:pPr>
              <w:pStyle w:val="Paragrafoelenco"/>
              <w:tabs>
                <w:tab w:val="left" w:pos="448"/>
              </w:tabs>
              <w:kinsoku w:val="0"/>
              <w:overflowPunct w:val="0"/>
              <w:spacing w:line="231" w:lineRule="exact"/>
              <w:ind w:left="449"/>
            </w:pPr>
          </w:p>
        </w:tc>
        <w:tc>
          <w:tcPr>
            <w:tcW w:w="4843" w:type="dxa"/>
          </w:tcPr>
          <w:p w:rsidR="007A4647" w:rsidRDefault="007A4647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7A4647" w:rsidRDefault="007A4647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550A6" w:rsidRPr="00A074F4" w:rsidRDefault="00A074F4">
            <w:pPr>
              <w:pStyle w:val="Paragrafoelenco"/>
              <w:numPr>
                <w:ilvl w:val="0"/>
                <w:numId w:val="46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A074F4">
              <w:rPr>
                <w:sz w:val="23"/>
                <w:szCs w:val="23"/>
              </w:rPr>
              <w:t>Dal medioevo al Rinascimento. Gli strumenti musicali del periodo. Ascolti. Pratica strumentale: consolidamento e ampliamento del repertorio</w:t>
            </w:r>
            <w:r w:rsidR="00407FD1" w:rsidRPr="00A074F4">
              <w:rPr>
                <w:sz w:val="23"/>
                <w:szCs w:val="23"/>
              </w:rPr>
              <w:t xml:space="preserve"> </w:t>
            </w:r>
          </w:p>
          <w:p w:rsidR="00A074F4" w:rsidRPr="00A074F4" w:rsidRDefault="00A074F4" w:rsidP="00A074F4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9550A6" w:rsidRPr="00A074F4" w:rsidRDefault="00A074F4" w:rsidP="00A074F4">
            <w:pPr>
              <w:pStyle w:val="Paragrafoelenco"/>
              <w:numPr>
                <w:ilvl w:val="0"/>
                <w:numId w:val="46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A074F4">
              <w:rPr>
                <w:sz w:val="23"/>
                <w:szCs w:val="23"/>
              </w:rPr>
              <w:t>La musica antica e medioevale. Ascolti. Consolidamento e ampliamento del repertorio strumentale e vocale.</w:t>
            </w:r>
          </w:p>
          <w:p w:rsidR="00A074F4" w:rsidRPr="00A074F4" w:rsidRDefault="00A074F4" w:rsidP="00A074F4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A074F4" w:rsidRPr="00A074F4" w:rsidRDefault="00A074F4" w:rsidP="00A074F4">
            <w:pPr>
              <w:pStyle w:val="Paragrafoelenco"/>
              <w:numPr>
                <w:ilvl w:val="0"/>
                <w:numId w:val="46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A074F4">
              <w:rPr>
                <w:sz w:val="23"/>
                <w:szCs w:val="23"/>
              </w:rPr>
              <w:t>La musica del Rinascimento. Consolidamento e ampliamento del repertorio strumentale e vocale.</w:t>
            </w:r>
          </w:p>
          <w:p w:rsidR="00A074F4" w:rsidRPr="00A074F4" w:rsidRDefault="00A074F4" w:rsidP="00A074F4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A074F4" w:rsidRPr="00A074F4" w:rsidRDefault="00A074F4" w:rsidP="00A074F4">
            <w:pPr>
              <w:pStyle w:val="Paragrafoelenco"/>
              <w:numPr>
                <w:ilvl w:val="0"/>
                <w:numId w:val="46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A074F4">
              <w:rPr>
                <w:sz w:val="23"/>
                <w:szCs w:val="23"/>
              </w:rPr>
              <w:t>Consolidamento e ampliamento del repertorio strumentale e vocale.</w:t>
            </w:r>
          </w:p>
          <w:p w:rsidR="00A074F4" w:rsidRPr="00A074F4" w:rsidRDefault="00A074F4" w:rsidP="00A074F4">
            <w:pPr>
              <w:pStyle w:val="Paragrafoelenco"/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</w:p>
          <w:p w:rsidR="00A074F4" w:rsidRDefault="00A074F4" w:rsidP="00A074F4">
            <w:pPr>
              <w:pStyle w:val="Paragrafoelenco"/>
              <w:numPr>
                <w:ilvl w:val="0"/>
                <w:numId w:val="46"/>
              </w:numPr>
              <w:tabs>
                <w:tab w:val="left" w:pos="448"/>
              </w:tabs>
              <w:kinsoku w:val="0"/>
              <w:overflowPunct w:val="0"/>
              <w:spacing w:before="84"/>
              <w:ind w:left="449"/>
            </w:pPr>
            <w:r w:rsidRPr="00A074F4">
              <w:rPr>
                <w:sz w:val="23"/>
                <w:szCs w:val="23"/>
              </w:rPr>
              <w:t>Ripasso generale degli argomenti principali (in base alle necessità)</w:t>
            </w:r>
          </w:p>
        </w:tc>
      </w:tr>
    </w:tbl>
    <w:p w:rsidR="007A4647" w:rsidRDefault="007A4647">
      <w:pPr>
        <w:sectPr w:rsidR="007A4647">
          <w:pgSz w:w="16860" w:h="11920" w:orient="landscape"/>
          <w:pgMar w:top="640" w:right="600" w:bottom="1140" w:left="500" w:header="0" w:footer="960" w:gutter="0"/>
          <w:cols w:space="720"/>
          <w:noEndnote/>
        </w:sectPr>
      </w:pPr>
    </w:p>
    <w:p w:rsidR="007A4647" w:rsidRDefault="007A4647">
      <w:pPr>
        <w:kinsoku w:val="0"/>
        <w:overflowPunct w:val="0"/>
        <w:spacing w:line="200" w:lineRule="exact"/>
        <w:rPr>
          <w:sz w:val="20"/>
          <w:szCs w:val="20"/>
        </w:rPr>
      </w:pPr>
    </w:p>
    <w:p w:rsidR="007A4647" w:rsidRDefault="007A4647">
      <w:pPr>
        <w:kinsoku w:val="0"/>
        <w:overflowPunct w:val="0"/>
        <w:spacing w:line="200" w:lineRule="exact"/>
        <w:rPr>
          <w:sz w:val="20"/>
          <w:szCs w:val="20"/>
        </w:rPr>
      </w:pPr>
    </w:p>
    <w:p w:rsidR="007A4647" w:rsidRDefault="007A4647">
      <w:pPr>
        <w:kinsoku w:val="0"/>
        <w:overflowPunct w:val="0"/>
        <w:spacing w:line="200" w:lineRule="exact"/>
        <w:rPr>
          <w:sz w:val="20"/>
          <w:szCs w:val="20"/>
        </w:rPr>
      </w:pPr>
    </w:p>
    <w:p w:rsidR="007A4647" w:rsidRDefault="007A4647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5F5869" w:rsidTr="005F5869">
        <w:trPr>
          <w:trHeight w:hRule="exact" w:val="735"/>
        </w:trPr>
        <w:tc>
          <w:tcPr>
            <w:tcW w:w="15540" w:type="dxa"/>
            <w:shd w:val="clear" w:color="auto" w:fill="A8D08D" w:themeFill="accent6" w:themeFillTint="99"/>
          </w:tcPr>
          <w:p w:rsidR="005F5869" w:rsidRDefault="005F5869" w:rsidP="005F5869">
            <w:pPr>
              <w:pStyle w:val="TableParagraph"/>
              <w:kinsoku w:val="0"/>
              <w:overflowPunct w:val="0"/>
              <w:spacing w:line="328" w:lineRule="exact"/>
              <w:ind w:left="3209"/>
            </w:pP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COMPETENZ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E</w:t>
            </w:r>
            <w:r>
              <w:rPr>
                <w:rFonts w:ascii="Verdana" w:hAnsi="Verdana" w:cs="Verdana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I</w:t>
            </w:r>
            <w:r>
              <w:rPr>
                <w:rFonts w:ascii="Verdana" w:hAnsi="Verdana" w:cs="Verdana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BAS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E</w:t>
            </w:r>
            <w:r>
              <w:rPr>
                <w:rFonts w:ascii="Verdana" w:hAnsi="Verdana" w:cs="Verdana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L</w:t>
            </w:r>
            <w:r>
              <w:rPr>
                <w:rFonts w:ascii="Verdana" w:hAnsi="Verdana" w:cs="Verdana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TERMIN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E</w:t>
            </w:r>
            <w:r>
              <w:rPr>
                <w:rFonts w:ascii="Verdana" w:hAnsi="Verdana" w:cs="Verdana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DELL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A</w:t>
            </w:r>
            <w:r>
              <w:rPr>
                <w:rFonts w:ascii="Verdana" w:hAnsi="Verdana" w:cs="Verdana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CLASS</w:t>
            </w: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E</w:t>
            </w:r>
            <w:r>
              <w:rPr>
                <w:rFonts w:ascii="Verdana" w:hAnsi="Verdana" w:cs="Verdana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…PRIMA………………….</w:t>
            </w:r>
          </w:p>
        </w:tc>
      </w:tr>
      <w:tr w:rsidR="005F5869" w:rsidTr="005F5869">
        <w:trPr>
          <w:trHeight w:hRule="exact" w:val="735"/>
        </w:trPr>
        <w:tc>
          <w:tcPr>
            <w:tcW w:w="15540" w:type="dxa"/>
            <w:shd w:val="clear" w:color="auto" w:fill="A8D08D" w:themeFill="accent6" w:themeFillTint="99"/>
          </w:tcPr>
          <w:p w:rsidR="005F5869" w:rsidRDefault="005F5869" w:rsidP="005F5869">
            <w:pPr>
              <w:pStyle w:val="TableParagraph"/>
              <w:kinsoku w:val="0"/>
              <w:overflowPunct w:val="0"/>
              <w:spacing w:line="328" w:lineRule="exact"/>
              <w:ind w:left="6942" w:right="6948"/>
              <w:jc w:val="center"/>
            </w:pPr>
          </w:p>
        </w:tc>
      </w:tr>
      <w:tr w:rsidR="005F5869" w:rsidTr="005F5869">
        <w:trPr>
          <w:trHeight w:hRule="exact" w:val="933"/>
        </w:trPr>
        <w:tc>
          <w:tcPr>
            <w:tcW w:w="15540" w:type="dxa"/>
          </w:tcPr>
          <w:p w:rsidR="005F5869" w:rsidRPr="002C6355" w:rsidRDefault="005F5869" w:rsidP="005F5869">
            <w:pPr>
              <w:pStyle w:val="TableParagraph"/>
              <w:kinsoku w:val="0"/>
              <w:overflowPunct w:val="0"/>
              <w:spacing w:line="328" w:lineRule="exact"/>
              <w:ind w:left="615" w:right="41"/>
              <w:rPr>
                <w:rFonts w:ascii="Verdana" w:hAnsi="Verdana" w:cs="Verdana"/>
                <w:bCs/>
                <w:spacing w:val="-1"/>
                <w:sz w:val="28"/>
                <w:szCs w:val="28"/>
              </w:rPr>
            </w:pPr>
            <w:r w:rsidRPr="002C6355">
              <w:rPr>
                <w:rFonts w:ascii="Verdana" w:hAnsi="Verdana" w:cs="Verdana"/>
                <w:bCs/>
                <w:spacing w:val="-1"/>
                <w:sz w:val="28"/>
                <w:szCs w:val="28"/>
              </w:rPr>
              <w:t>Partecipa re in modo attivo alla realizzazione di esperienze musicali attraverso l’esecuzione e l’interpretazione di brani strumentali e vocali appartenenti a generi e culture differenti.</w:t>
            </w:r>
          </w:p>
        </w:tc>
      </w:tr>
      <w:tr w:rsidR="005F5869" w:rsidTr="005F5869">
        <w:trPr>
          <w:trHeight w:hRule="exact" w:val="735"/>
        </w:trPr>
        <w:tc>
          <w:tcPr>
            <w:tcW w:w="15540" w:type="dxa"/>
          </w:tcPr>
          <w:p w:rsidR="005F5869" w:rsidRPr="00D937EF" w:rsidRDefault="005F5869" w:rsidP="005F5869">
            <w:pPr>
              <w:pStyle w:val="TableParagraph"/>
              <w:kinsoku w:val="0"/>
              <w:overflowPunct w:val="0"/>
              <w:spacing w:line="328" w:lineRule="exact"/>
              <w:ind w:left="6942" w:right="183" w:hanging="6327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 w:rsidRPr="00D937EF">
              <w:rPr>
                <w:rFonts w:ascii="Arial" w:hAnsi="Arial" w:cs="Arial"/>
                <w:sz w:val="28"/>
                <w:szCs w:val="28"/>
              </w:rPr>
              <w:t>Usare diversi sistemi di notazione funzionali alla lettura, all’analisi e alla riproduzione di brani musicali.</w:t>
            </w:r>
          </w:p>
        </w:tc>
      </w:tr>
      <w:tr w:rsidR="005F5869" w:rsidTr="005F5869">
        <w:trPr>
          <w:trHeight w:hRule="exact" w:val="735"/>
        </w:trPr>
        <w:tc>
          <w:tcPr>
            <w:tcW w:w="15540" w:type="dxa"/>
          </w:tcPr>
          <w:p w:rsidR="005F5869" w:rsidRPr="00D937EF" w:rsidRDefault="005F5869" w:rsidP="005F5869">
            <w:pPr>
              <w:pStyle w:val="TableParagraph"/>
              <w:tabs>
                <w:tab w:val="left" w:pos="15357"/>
              </w:tabs>
              <w:kinsoku w:val="0"/>
              <w:overflowPunct w:val="0"/>
              <w:spacing w:line="328" w:lineRule="exact"/>
              <w:ind w:left="615" w:right="183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 w:rsidRPr="00D937EF">
              <w:rPr>
                <w:rFonts w:ascii="Arial" w:hAnsi="Arial" w:cs="Arial"/>
                <w:sz w:val="28"/>
                <w:szCs w:val="28"/>
              </w:rPr>
              <w:t>Comprendere e valutare eventi, materiali, opere musicali riconoscendone i significati, anche in relazione alla propria esperienza musicale e ai diversi contesti storico-musicali.</w:t>
            </w:r>
          </w:p>
        </w:tc>
      </w:tr>
      <w:tr w:rsidR="005F5869" w:rsidTr="005F5869">
        <w:trPr>
          <w:trHeight w:hRule="exact" w:val="735"/>
        </w:trPr>
        <w:tc>
          <w:tcPr>
            <w:tcW w:w="15540" w:type="dxa"/>
          </w:tcPr>
          <w:p w:rsidR="005F5869" w:rsidRPr="00D937EF" w:rsidRDefault="005F5869" w:rsidP="005F5869">
            <w:pPr>
              <w:pStyle w:val="TableParagraph"/>
              <w:tabs>
                <w:tab w:val="left" w:pos="15215"/>
              </w:tabs>
              <w:kinsoku w:val="0"/>
              <w:overflowPunct w:val="0"/>
              <w:spacing w:line="328" w:lineRule="exact"/>
              <w:ind w:left="615" w:right="466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 w:rsidRPr="00D937EF">
              <w:rPr>
                <w:rFonts w:ascii="Arial" w:hAnsi="Arial" w:cs="Arial"/>
                <w:sz w:val="28"/>
                <w:szCs w:val="28"/>
              </w:rPr>
              <w:t>Integrare con altri saperi e altre pratiche artistiche le proprie esperienze musicali, servendosi anche di appropriati codici e sistemi di codifica</w:t>
            </w:r>
          </w:p>
        </w:tc>
      </w:tr>
      <w:tr w:rsidR="005F5869" w:rsidTr="005F5869">
        <w:trPr>
          <w:trHeight w:hRule="exact" w:val="1204"/>
        </w:trPr>
        <w:tc>
          <w:tcPr>
            <w:tcW w:w="15540" w:type="dxa"/>
          </w:tcPr>
          <w:p w:rsidR="005F5869" w:rsidRPr="00D937EF" w:rsidRDefault="005F5869" w:rsidP="005F5869">
            <w:pPr>
              <w:pStyle w:val="TableParagraph"/>
              <w:tabs>
                <w:tab w:val="left" w:pos="8837"/>
              </w:tabs>
              <w:kinsoku w:val="0"/>
              <w:overflowPunct w:val="0"/>
              <w:spacing w:line="328" w:lineRule="exact"/>
              <w:ind w:left="615" w:right="608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 w:rsidRPr="00D937EF">
              <w:rPr>
                <w:rFonts w:ascii="Arial" w:hAnsi="Arial" w:cs="Arial"/>
                <w:sz w:val="28"/>
                <w:szCs w:val="28"/>
              </w:rPr>
              <w:t>Ideare e realizzare, anche attraverso l’improvvisazione o partecipando ai processi di elaborazione collettiva, messaggi musicali e multimediali, nel confronto critico con modelli appartenenti al patrimonio musicale, utilizzando anche sistemi informatici.</w:t>
            </w:r>
          </w:p>
        </w:tc>
      </w:tr>
    </w:tbl>
    <w:p w:rsidR="007A4647" w:rsidRDefault="007A4647">
      <w:pPr>
        <w:kinsoku w:val="0"/>
        <w:overflowPunct w:val="0"/>
        <w:spacing w:line="200" w:lineRule="exact"/>
        <w:rPr>
          <w:sz w:val="20"/>
          <w:szCs w:val="20"/>
        </w:rPr>
      </w:pPr>
    </w:p>
    <w:p w:rsidR="007A4647" w:rsidRDefault="007A4647">
      <w:pPr>
        <w:kinsoku w:val="0"/>
        <w:overflowPunct w:val="0"/>
        <w:spacing w:before="19" w:line="200" w:lineRule="exact"/>
        <w:rPr>
          <w:sz w:val="20"/>
          <w:szCs w:val="20"/>
        </w:rPr>
      </w:pPr>
    </w:p>
    <w:p w:rsidR="007A4647" w:rsidRDefault="007A4647">
      <w:pPr>
        <w:sectPr w:rsidR="007A4647">
          <w:pgSz w:w="16860" w:h="11920" w:orient="landscape"/>
          <w:pgMar w:top="1100" w:right="600" w:bottom="1140" w:left="500" w:header="0" w:footer="960" w:gutter="0"/>
          <w:cols w:space="720"/>
          <w:noEndnote/>
        </w:sectPr>
      </w:pPr>
    </w:p>
    <w:p w:rsidR="007A4647" w:rsidRDefault="007A4647">
      <w:pPr>
        <w:kinsoku w:val="0"/>
        <w:overflowPunct w:val="0"/>
        <w:spacing w:before="9" w:line="70" w:lineRule="exact"/>
        <w:rPr>
          <w:sz w:val="7"/>
          <w:szCs w:val="7"/>
        </w:rPr>
      </w:pPr>
    </w:p>
    <w:tbl>
      <w:tblPr>
        <w:tblStyle w:val="Grigliatabella"/>
        <w:tblpPr w:leftFromText="141" w:rightFromText="141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15880"/>
      </w:tblGrid>
      <w:tr w:rsidR="005F5869" w:rsidTr="005F5869">
        <w:tc>
          <w:tcPr>
            <w:tcW w:w="15880" w:type="dxa"/>
            <w:shd w:val="clear" w:color="auto" w:fill="A8D08D" w:themeFill="accent6" w:themeFillTint="99"/>
          </w:tcPr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</w:tc>
      </w:tr>
      <w:tr w:rsidR="005F5869" w:rsidTr="005F5869">
        <w:tc>
          <w:tcPr>
            <w:tcW w:w="15880" w:type="dxa"/>
          </w:tcPr>
          <w:p w:rsidR="005F5869" w:rsidRDefault="005F5869" w:rsidP="005F5869"/>
          <w:p w:rsidR="005F5869" w:rsidRDefault="005F5869" w:rsidP="005F5869">
            <w:r>
              <w:t>METODOLOGIA</w:t>
            </w:r>
          </w:p>
          <w:p w:rsidR="005F5869" w:rsidRDefault="005F5869" w:rsidP="005F5869"/>
          <w:p w:rsidR="005F5869" w:rsidRDefault="005F5869" w:rsidP="005F5869">
            <w:r>
              <w:t xml:space="preserve">Lezione frontale; lezione di strumento musicale; </w:t>
            </w:r>
          </w:p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</w:tc>
      </w:tr>
      <w:tr w:rsidR="005F5869" w:rsidTr="005F5869">
        <w:tc>
          <w:tcPr>
            <w:tcW w:w="15880" w:type="dxa"/>
          </w:tcPr>
          <w:p w:rsidR="005F5869" w:rsidRDefault="005F5869" w:rsidP="005F5869">
            <w:r>
              <w:t>PIATTAFORME E CANALI DI COMUNICAZIONE</w:t>
            </w:r>
          </w:p>
          <w:p w:rsidR="005F5869" w:rsidRDefault="005F5869" w:rsidP="005F5869"/>
          <w:p w:rsidR="005F5869" w:rsidRDefault="005F5869" w:rsidP="005F5869">
            <w:r>
              <w:t>Gsuite; registro elettronico.</w:t>
            </w:r>
          </w:p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</w:tc>
      </w:tr>
      <w:tr w:rsidR="005F5869" w:rsidTr="005F5869">
        <w:tc>
          <w:tcPr>
            <w:tcW w:w="15880" w:type="dxa"/>
          </w:tcPr>
          <w:p w:rsidR="005F5869" w:rsidRDefault="005F5869" w:rsidP="005F5869">
            <w:r>
              <w:t>MATERIALI DI STUDIO PROPOSTI</w:t>
            </w:r>
          </w:p>
          <w:p w:rsidR="005F5869" w:rsidRDefault="005F5869" w:rsidP="005F5869"/>
          <w:p w:rsidR="005F5869" w:rsidRDefault="005F5869" w:rsidP="005F5869">
            <w:r>
              <w:t xml:space="preserve">Spartiti musicali; file audio;  libri di testo; materiali dal docente; schede; video Youtube. </w:t>
            </w:r>
          </w:p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  <w:p w:rsidR="005F5869" w:rsidRDefault="005F5869" w:rsidP="005F5869"/>
        </w:tc>
      </w:tr>
    </w:tbl>
    <w:p w:rsidR="007A4647" w:rsidRDefault="007A4647">
      <w:pPr>
        <w:kinsoku w:val="0"/>
        <w:overflowPunct w:val="0"/>
        <w:spacing w:before="19" w:line="200" w:lineRule="exact"/>
        <w:rPr>
          <w:sz w:val="20"/>
          <w:szCs w:val="20"/>
        </w:rPr>
      </w:pPr>
    </w:p>
    <w:p w:rsidR="007A4647" w:rsidRDefault="007A4647">
      <w:pPr>
        <w:sectPr w:rsidR="007A4647">
          <w:pgSz w:w="16860" w:h="11920" w:orient="landscape"/>
          <w:pgMar w:top="1100" w:right="600" w:bottom="1140" w:left="500" w:header="0" w:footer="960" w:gutter="0"/>
          <w:cols w:space="720"/>
          <w:noEndnote/>
        </w:sectPr>
      </w:pPr>
    </w:p>
    <w:p w:rsidR="007A4647" w:rsidRDefault="007A4647" w:rsidP="005F5869">
      <w:pPr>
        <w:kinsoku w:val="0"/>
        <w:overflowPunct w:val="0"/>
        <w:spacing w:before="9" w:line="70" w:lineRule="exact"/>
        <w:rPr>
          <w:sz w:val="7"/>
          <w:szCs w:val="7"/>
        </w:rPr>
      </w:pPr>
    </w:p>
    <w:p w:rsidR="007215E1" w:rsidRDefault="007215E1" w:rsidP="005F5869">
      <w:pPr>
        <w:kinsoku w:val="0"/>
        <w:overflowPunct w:val="0"/>
        <w:spacing w:before="9" w:line="70" w:lineRule="exact"/>
        <w:rPr>
          <w:sz w:val="7"/>
          <w:szCs w:val="7"/>
        </w:rPr>
      </w:pPr>
    </w:p>
    <w:p w:rsidR="007215E1" w:rsidRDefault="007215E1" w:rsidP="005F5869">
      <w:pPr>
        <w:kinsoku w:val="0"/>
        <w:overflowPunct w:val="0"/>
        <w:spacing w:before="9" w:line="70" w:lineRule="exact"/>
        <w:rPr>
          <w:sz w:val="7"/>
          <w:szCs w:val="7"/>
        </w:rPr>
      </w:pPr>
    </w:p>
    <w:sectPr w:rsidR="007215E1">
      <w:pgSz w:w="16860" w:h="11920" w:orient="landscape"/>
      <w:pgMar w:top="1100" w:right="620" w:bottom="1140" w:left="500" w:header="0" w:footer="960" w:gutter="0"/>
      <w:cols w:space="720" w:equalWidth="0">
        <w:col w:w="157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78" w:rsidRDefault="00454F78">
      <w:r>
        <w:separator/>
      </w:r>
    </w:p>
  </w:endnote>
  <w:endnote w:type="continuationSeparator" w:id="0">
    <w:p w:rsidR="00454F78" w:rsidRDefault="0045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47" w:rsidRDefault="00454F7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8.25pt;margin-top:536pt;width:9.55pt;height:13pt;z-index:-251658752;mso-position-horizontal-relative:page;mso-position-vertical-relative:page" o:allowincell="f" filled="f" stroked="f">
          <v:textbox inset="0,0,0,0">
            <w:txbxContent>
              <w:p w:rsidR="007A4647" w:rsidRDefault="007A4647">
                <w:pPr>
                  <w:kinsoku w:val="0"/>
                  <w:overflowPunct w:val="0"/>
                  <w:spacing w:line="244" w:lineRule="exact"/>
                  <w:ind w:left="4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begin"/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 w:rsidR="00697E9A">
                  <w:rPr>
                    <w:rFonts w:ascii="Calibri" w:hAnsi="Calibri" w:cs="Calibri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78" w:rsidRDefault="00454F78">
      <w:r>
        <w:separator/>
      </w:r>
    </w:p>
  </w:footnote>
  <w:footnote w:type="continuationSeparator" w:id="0">
    <w:p w:rsidR="00454F78" w:rsidRDefault="0045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 w15:restartNumberingAfterBreak="0">
    <w:nsid w:val="00000426"/>
    <w:multiLevelType w:val="multilevel"/>
    <w:tmpl w:val="000008A9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00000427"/>
    <w:multiLevelType w:val="multilevel"/>
    <w:tmpl w:val="000008AA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00000428"/>
    <w:multiLevelType w:val="multilevel"/>
    <w:tmpl w:val="000008AB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9" w15:restartNumberingAfterBreak="0">
    <w:nsid w:val="00000429"/>
    <w:multiLevelType w:val="multilevel"/>
    <w:tmpl w:val="000008AC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0" w15:restartNumberingAfterBreak="0">
    <w:nsid w:val="0000042A"/>
    <w:multiLevelType w:val="multilevel"/>
    <w:tmpl w:val="000008AD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 w15:restartNumberingAfterBreak="0">
    <w:nsid w:val="0000042B"/>
    <w:multiLevelType w:val="multilevel"/>
    <w:tmpl w:val="000008AE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2" w15:restartNumberingAfterBreak="0">
    <w:nsid w:val="0000042C"/>
    <w:multiLevelType w:val="multilevel"/>
    <w:tmpl w:val="000008AF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 w15:restartNumberingAfterBreak="0">
    <w:nsid w:val="0000042D"/>
    <w:multiLevelType w:val="multilevel"/>
    <w:tmpl w:val="000008B0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4" w15:restartNumberingAfterBreak="0">
    <w:nsid w:val="0000042E"/>
    <w:multiLevelType w:val="multilevel"/>
    <w:tmpl w:val="000008B1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5" w15:restartNumberingAfterBreak="0">
    <w:nsid w:val="0000042F"/>
    <w:multiLevelType w:val="multilevel"/>
    <w:tmpl w:val="000008B2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6" w15:restartNumberingAfterBreak="0">
    <w:nsid w:val="00000430"/>
    <w:multiLevelType w:val="multilevel"/>
    <w:tmpl w:val="000008B3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7" w15:restartNumberingAfterBreak="0">
    <w:nsid w:val="00000431"/>
    <w:multiLevelType w:val="multilevel"/>
    <w:tmpl w:val="000008B4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8" w15:restartNumberingAfterBreak="0">
    <w:nsid w:val="00000432"/>
    <w:multiLevelType w:val="multilevel"/>
    <w:tmpl w:val="000008B5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9" w15:restartNumberingAfterBreak="0">
    <w:nsid w:val="00000433"/>
    <w:multiLevelType w:val="multilevel"/>
    <w:tmpl w:val="000008B6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0" w15:restartNumberingAfterBreak="0">
    <w:nsid w:val="00000434"/>
    <w:multiLevelType w:val="multilevel"/>
    <w:tmpl w:val="000008B7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1" w15:restartNumberingAfterBreak="0">
    <w:nsid w:val="00000435"/>
    <w:multiLevelType w:val="multilevel"/>
    <w:tmpl w:val="000008B8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2" w15:restartNumberingAfterBreak="0">
    <w:nsid w:val="00000436"/>
    <w:multiLevelType w:val="multilevel"/>
    <w:tmpl w:val="000008B9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3" w15:restartNumberingAfterBreak="0">
    <w:nsid w:val="00000437"/>
    <w:multiLevelType w:val="multilevel"/>
    <w:tmpl w:val="000008BA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4" w15:restartNumberingAfterBreak="0">
    <w:nsid w:val="00000438"/>
    <w:multiLevelType w:val="multilevel"/>
    <w:tmpl w:val="000008BB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5" w15:restartNumberingAfterBreak="0">
    <w:nsid w:val="00000439"/>
    <w:multiLevelType w:val="multilevel"/>
    <w:tmpl w:val="000008BC"/>
    <w:lvl w:ilvl="0">
      <w:numFmt w:val="bullet"/>
      <w:lvlText w:val="➢"/>
      <w:lvlJc w:val="left"/>
      <w:pPr>
        <w:ind w:hanging="360"/>
      </w:pPr>
      <w:rPr>
        <w:rFonts w:ascii="MS Gothic" w:eastAsia="MS Gothic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6" w15:restartNumberingAfterBreak="0">
    <w:nsid w:val="0000043A"/>
    <w:multiLevelType w:val="multilevel"/>
    <w:tmpl w:val="000008BD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7" w15:restartNumberingAfterBreak="0">
    <w:nsid w:val="0000043B"/>
    <w:multiLevelType w:val="multilevel"/>
    <w:tmpl w:val="000008BE"/>
    <w:lvl w:ilvl="0">
      <w:numFmt w:val="bullet"/>
      <w:lvlText w:val="➢"/>
      <w:lvlJc w:val="left"/>
      <w:pPr>
        <w:ind w:hanging="360"/>
      </w:pPr>
      <w:rPr>
        <w:rFonts w:ascii="MS Gothic" w:eastAsia="MS Gothic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8" w15:restartNumberingAfterBreak="0">
    <w:nsid w:val="0000043C"/>
    <w:multiLevelType w:val="multilevel"/>
    <w:tmpl w:val="000008BF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9" w15:restartNumberingAfterBreak="0">
    <w:nsid w:val="0000043D"/>
    <w:multiLevelType w:val="multilevel"/>
    <w:tmpl w:val="000008C0"/>
    <w:lvl w:ilvl="0">
      <w:numFmt w:val="bullet"/>
      <w:lvlText w:val="➢"/>
      <w:lvlJc w:val="left"/>
      <w:pPr>
        <w:ind w:hanging="360"/>
      </w:pPr>
      <w:rPr>
        <w:rFonts w:ascii="MS Gothic" w:eastAsia="MS Gothic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0" w15:restartNumberingAfterBreak="0">
    <w:nsid w:val="0000043E"/>
    <w:multiLevelType w:val="multilevel"/>
    <w:tmpl w:val="000008C1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1" w15:restartNumberingAfterBreak="0">
    <w:nsid w:val="0000043F"/>
    <w:multiLevelType w:val="multilevel"/>
    <w:tmpl w:val="000008C2"/>
    <w:lvl w:ilvl="0">
      <w:numFmt w:val="bullet"/>
      <w:lvlText w:val="➢"/>
      <w:lvlJc w:val="left"/>
      <w:pPr>
        <w:ind w:hanging="360"/>
      </w:pPr>
      <w:rPr>
        <w:rFonts w:ascii="MS Gothic" w:eastAsia="MS Gothic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2" w15:restartNumberingAfterBreak="0">
    <w:nsid w:val="189E0C98"/>
    <w:multiLevelType w:val="hybridMultilevel"/>
    <w:tmpl w:val="91722A3C"/>
    <w:lvl w:ilvl="0" w:tplc="0410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63" w15:restartNumberingAfterBreak="0">
    <w:nsid w:val="1FD57610"/>
    <w:multiLevelType w:val="hybridMultilevel"/>
    <w:tmpl w:val="3510F64A"/>
    <w:lvl w:ilvl="0" w:tplc="0410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64" w15:restartNumberingAfterBreak="0">
    <w:nsid w:val="28BB459E"/>
    <w:multiLevelType w:val="hybridMultilevel"/>
    <w:tmpl w:val="EEBC6604"/>
    <w:lvl w:ilvl="0" w:tplc="0410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65" w15:restartNumberingAfterBreak="0">
    <w:nsid w:val="2B715B73"/>
    <w:multiLevelType w:val="multilevel"/>
    <w:tmpl w:val="0438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0C218ED"/>
    <w:multiLevelType w:val="hybridMultilevel"/>
    <w:tmpl w:val="FBCE9EF0"/>
    <w:lvl w:ilvl="0" w:tplc="0410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67" w15:restartNumberingAfterBreak="0">
    <w:nsid w:val="76835270"/>
    <w:multiLevelType w:val="hybridMultilevel"/>
    <w:tmpl w:val="D0B07CCC"/>
    <w:lvl w:ilvl="0" w:tplc="7D6E6C80">
      <w:numFmt w:val="bullet"/>
      <w:lvlText w:val="-"/>
      <w:lvlJc w:val="left"/>
      <w:pPr>
        <w:ind w:left="449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0"/>
  </w:num>
  <w:num w:numId="3">
    <w:abstractNumId w:val="59"/>
  </w:num>
  <w:num w:numId="4">
    <w:abstractNumId w:val="58"/>
  </w:num>
  <w:num w:numId="5">
    <w:abstractNumId w:val="57"/>
  </w:num>
  <w:num w:numId="6">
    <w:abstractNumId w:val="56"/>
  </w:num>
  <w:num w:numId="7">
    <w:abstractNumId w:val="55"/>
  </w:num>
  <w:num w:numId="8">
    <w:abstractNumId w:val="54"/>
  </w:num>
  <w:num w:numId="9">
    <w:abstractNumId w:val="53"/>
  </w:num>
  <w:num w:numId="10">
    <w:abstractNumId w:val="52"/>
  </w:num>
  <w:num w:numId="11">
    <w:abstractNumId w:val="51"/>
  </w:num>
  <w:num w:numId="12">
    <w:abstractNumId w:val="50"/>
  </w:num>
  <w:num w:numId="13">
    <w:abstractNumId w:val="49"/>
  </w:num>
  <w:num w:numId="14">
    <w:abstractNumId w:val="48"/>
  </w:num>
  <w:num w:numId="15">
    <w:abstractNumId w:val="47"/>
  </w:num>
  <w:num w:numId="16">
    <w:abstractNumId w:val="46"/>
  </w:num>
  <w:num w:numId="17">
    <w:abstractNumId w:val="45"/>
  </w:num>
  <w:num w:numId="18">
    <w:abstractNumId w:val="44"/>
  </w:num>
  <w:num w:numId="19">
    <w:abstractNumId w:val="43"/>
  </w:num>
  <w:num w:numId="20">
    <w:abstractNumId w:val="42"/>
  </w:num>
  <w:num w:numId="21">
    <w:abstractNumId w:val="41"/>
  </w:num>
  <w:num w:numId="22">
    <w:abstractNumId w:val="40"/>
  </w:num>
  <w:num w:numId="23">
    <w:abstractNumId w:val="39"/>
  </w:num>
  <w:num w:numId="24">
    <w:abstractNumId w:val="38"/>
  </w:num>
  <w:num w:numId="25">
    <w:abstractNumId w:val="37"/>
  </w:num>
  <w:num w:numId="26">
    <w:abstractNumId w:val="36"/>
  </w:num>
  <w:num w:numId="27">
    <w:abstractNumId w:val="35"/>
  </w:num>
  <w:num w:numId="28">
    <w:abstractNumId w:val="34"/>
  </w:num>
  <w:num w:numId="29">
    <w:abstractNumId w:val="33"/>
  </w:num>
  <w:num w:numId="30">
    <w:abstractNumId w:val="32"/>
  </w:num>
  <w:num w:numId="31">
    <w:abstractNumId w:val="31"/>
  </w:num>
  <w:num w:numId="32">
    <w:abstractNumId w:val="30"/>
  </w:num>
  <w:num w:numId="33">
    <w:abstractNumId w:val="29"/>
  </w:num>
  <w:num w:numId="34">
    <w:abstractNumId w:val="28"/>
  </w:num>
  <w:num w:numId="35">
    <w:abstractNumId w:val="27"/>
  </w:num>
  <w:num w:numId="36">
    <w:abstractNumId w:val="26"/>
  </w:num>
  <w:num w:numId="37">
    <w:abstractNumId w:val="25"/>
  </w:num>
  <w:num w:numId="38">
    <w:abstractNumId w:val="24"/>
  </w:num>
  <w:num w:numId="39">
    <w:abstractNumId w:val="23"/>
  </w:num>
  <w:num w:numId="40">
    <w:abstractNumId w:val="22"/>
  </w:num>
  <w:num w:numId="41">
    <w:abstractNumId w:val="21"/>
  </w:num>
  <w:num w:numId="42">
    <w:abstractNumId w:val="2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  <w:num w:numId="47">
    <w:abstractNumId w:val="15"/>
  </w:num>
  <w:num w:numId="48">
    <w:abstractNumId w:val="14"/>
  </w:num>
  <w:num w:numId="49">
    <w:abstractNumId w:val="13"/>
  </w:num>
  <w:num w:numId="50">
    <w:abstractNumId w:val="12"/>
  </w:num>
  <w:num w:numId="51">
    <w:abstractNumId w:val="11"/>
  </w:num>
  <w:num w:numId="52">
    <w:abstractNumId w:val="10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4"/>
  </w:num>
  <w:num w:numId="59">
    <w:abstractNumId w:val="3"/>
  </w:num>
  <w:num w:numId="60">
    <w:abstractNumId w:val="2"/>
  </w:num>
  <w:num w:numId="61">
    <w:abstractNumId w:val="1"/>
  </w:num>
  <w:num w:numId="62">
    <w:abstractNumId w:val="0"/>
  </w:num>
  <w:num w:numId="63">
    <w:abstractNumId w:val="62"/>
  </w:num>
  <w:num w:numId="64">
    <w:abstractNumId w:val="66"/>
  </w:num>
  <w:num w:numId="65">
    <w:abstractNumId w:val="67"/>
  </w:num>
  <w:num w:numId="66">
    <w:abstractNumId w:val="65"/>
  </w:num>
  <w:num w:numId="67">
    <w:abstractNumId w:val="64"/>
  </w:num>
  <w:num w:numId="68">
    <w:abstractNumId w:val="6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F86"/>
    <w:rsid w:val="000C723D"/>
    <w:rsid w:val="00107F11"/>
    <w:rsid w:val="001412BC"/>
    <w:rsid w:val="00200B14"/>
    <w:rsid w:val="002C6355"/>
    <w:rsid w:val="003D3914"/>
    <w:rsid w:val="00407FD1"/>
    <w:rsid w:val="00454F78"/>
    <w:rsid w:val="00484E43"/>
    <w:rsid w:val="00564746"/>
    <w:rsid w:val="005E09CE"/>
    <w:rsid w:val="005F5869"/>
    <w:rsid w:val="00697E9A"/>
    <w:rsid w:val="006A7384"/>
    <w:rsid w:val="007215E1"/>
    <w:rsid w:val="007A4647"/>
    <w:rsid w:val="0081200D"/>
    <w:rsid w:val="00821A7C"/>
    <w:rsid w:val="00872D3D"/>
    <w:rsid w:val="009550A6"/>
    <w:rsid w:val="00A074F4"/>
    <w:rsid w:val="00BB2553"/>
    <w:rsid w:val="00C0532C"/>
    <w:rsid w:val="00C77F56"/>
    <w:rsid w:val="00D13A89"/>
    <w:rsid w:val="00D1429C"/>
    <w:rsid w:val="00D61858"/>
    <w:rsid w:val="00D937EF"/>
    <w:rsid w:val="00EA165B"/>
    <w:rsid w:val="00EF5269"/>
    <w:rsid w:val="00F765B7"/>
    <w:rsid w:val="00F90283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D5366075-FF0E-4EE1-807B-367FBDC8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449" w:hanging="360"/>
    </w:pPr>
    <w:rPr>
      <w:rFonts w:ascii="Verdana" w:hAnsi="Verdana" w:cs="Verdana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7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142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E271-6876-4E5B-AB2E-62B4C7C2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DELLA CASA</dc:creator>
  <cp:lastModifiedBy>ROSSANA DELLA CASA</cp:lastModifiedBy>
  <cp:revision>2</cp:revision>
  <dcterms:created xsi:type="dcterms:W3CDTF">2020-09-21T20:13:00Z</dcterms:created>
  <dcterms:modified xsi:type="dcterms:W3CDTF">2020-09-21T20:13:00Z</dcterms:modified>
</cp:coreProperties>
</file>